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0070FF"/>
          <w:sz w:val="72"/>
        </w:rPr>
        <w:t>TARYVEN</w:t>
      </w:r>
    </w:p>
    <w:p>
      <w:pPr>
        <w:jc w:val="center"/>
      </w:pPr>
      <w:r>
        <w:rPr>
          <w:b/>
          <w:color w:val="081324"/>
          <w:sz w:val="50"/>
        </w:rPr>
        <w:t>TOKENOMICS</w:t>
      </w:r>
    </w:p>
    <w:p>
      <w:pPr>
        <w:jc w:val="center"/>
      </w:pPr>
      <w:r>
        <w:rPr>
          <w:b w:val="0"/>
          <w:i w:val="0"/>
        </w:rPr>
        <w:t>TRYV Token Economic Framework — Version 0.9</w:t>
      </w:r>
    </w:p>
    <w:p>
      <w:pPr>
        <w:jc w:val="center"/>
      </w:pPr>
      <w:r>
        <w:rPr>
          <w:b/>
          <w:i w:val="0"/>
          <w:color w:val="00A6C8"/>
        </w:rPr>
        <w:t>WORKING DRAFT — NOT FINAL</w:t>
      </w:r>
    </w:p>
    <w:p/>
    <w:tbl>
      <w:tblPr>
        <w:tblStyle w:val="TableGrid"/>
        <w:tblW w:type="auto" w:w="0"/>
        <w:jc w:val="center"/>
        <w:tblLook w:firstColumn="1" w:firstRow="1" w:lastColumn="0" w:lastRow="0" w:noHBand="0" w:noVBand="1" w:val="04A0"/>
      </w:tblPr>
      <w:tblGrid>
        <w:gridCol w:w="4968"/>
        <w:gridCol w:w="4968"/>
      </w:tblGrid>
      <w:tr>
        <w:tc>
          <w:tcPr>
            <w:tcW w:type="dxa" w:w="4968"/>
            <w:vAlign w:val="center"/>
            <w:shd w:fill="081324"/>
          </w:tcPr>
          <w:p>
            <w:r/>
            <w:r>
              <w:rPr>
                <w:rFonts w:ascii="Aptos" w:hAnsi="Aptos"/>
                <w:b/>
                <w:color w:val="FFFFFF"/>
                <w:sz w:val="17"/>
              </w:rPr>
              <w:t>Core Metric</w:t>
            </w:r>
          </w:p>
        </w:tc>
        <w:tc>
          <w:tcPr>
            <w:tcW w:type="dxa" w:w="4968"/>
            <w:vAlign w:val="center"/>
            <w:shd w:fill="081324"/>
          </w:tcPr>
          <w:p>
            <w:r/>
            <w:r>
              <w:rPr>
                <w:rFonts w:ascii="Aptos" w:hAnsi="Aptos"/>
                <w:b/>
                <w:color w:val="FFFFFF"/>
                <w:sz w:val="17"/>
              </w:rPr>
              <w:t>Current v0.9 Framework</w:t>
            </w:r>
          </w:p>
        </w:tc>
      </w:tr>
      <w:tr>
        <w:tc>
          <w:tcPr>
            <w:tcW w:type="dxa" w:w="4968"/>
            <w:vAlign w:val="center"/>
          </w:tcPr>
          <w:p>
            <w:r/>
            <w:r>
              <w:rPr>
                <w:rFonts w:ascii="Aptos" w:hAnsi="Aptos"/>
                <w:b w:val="0"/>
                <w:sz w:val="17"/>
              </w:rPr>
              <w:t>Maximum Supply</w:t>
            </w:r>
          </w:p>
        </w:tc>
        <w:tc>
          <w:tcPr>
            <w:tcW w:type="dxa" w:w="4968"/>
            <w:vAlign w:val="center"/>
          </w:tcPr>
          <w:p>
            <w:r/>
            <w:r>
              <w:rPr>
                <w:rFonts w:ascii="Aptos" w:hAnsi="Aptos"/>
                <w:b w:val="0"/>
                <w:sz w:val="17"/>
              </w:rPr>
              <w:t>1,000,000,000 TRYV</w:t>
            </w:r>
          </w:p>
        </w:tc>
      </w:tr>
      <w:tr>
        <w:tc>
          <w:tcPr>
            <w:tcW w:type="dxa" w:w="4968"/>
            <w:vAlign w:val="center"/>
            <w:shd w:fill="F2F7FC"/>
          </w:tcPr>
          <w:p>
            <w:r/>
            <w:r>
              <w:rPr>
                <w:rFonts w:ascii="Aptos" w:hAnsi="Aptos"/>
                <w:b w:val="0"/>
                <w:sz w:val="17"/>
              </w:rPr>
              <w:t>Token Decimals</w:t>
            </w:r>
          </w:p>
        </w:tc>
        <w:tc>
          <w:tcPr>
            <w:tcW w:type="dxa" w:w="4968"/>
            <w:vAlign w:val="center"/>
            <w:shd w:fill="F2F7FC"/>
          </w:tcPr>
          <w:p>
            <w:r/>
            <w:r>
              <w:rPr>
                <w:rFonts w:ascii="Aptos" w:hAnsi="Aptos"/>
                <w:b w:val="0"/>
                <w:sz w:val="17"/>
              </w:rPr>
              <w:t>18</w:t>
            </w:r>
          </w:p>
        </w:tc>
      </w:tr>
      <w:tr>
        <w:tc>
          <w:tcPr>
            <w:tcW w:type="dxa" w:w="4968"/>
            <w:vAlign w:val="center"/>
          </w:tcPr>
          <w:p>
            <w:r/>
            <w:r>
              <w:rPr>
                <w:rFonts w:ascii="Aptos" w:hAnsi="Aptos"/>
                <w:b w:val="0"/>
                <w:sz w:val="17"/>
              </w:rPr>
              <w:t>Founder &amp; Advisory Maximum</w:t>
            </w:r>
          </w:p>
        </w:tc>
        <w:tc>
          <w:tcPr>
            <w:tcW w:type="dxa" w:w="4968"/>
            <w:vAlign w:val="center"/>
          </w:tcPr>
          <w:p>
            <w:r/>
            <w:r>
              <w:rPr>
                <w:rFonts w:ascii="Aptos" w:hAnsi="Aptos"/>
                <w:b w:val="0"/>
                <w:sz w:val="17"/>
              </w:rPr>
              <w:t>75,000,000 TRYV (7.5%)</w:t>
            </w:r>
          </w:p>
        </w:tc>
      </w:tr>
      <w:tr>
        <w:tc>
          <w:tcPr>
            <w:tcW w:type="dxa" w:w="4968"/>
            <w:vAlign w:val="center"/>
            <w:shd w:fill="F2F7FC"/>
          </w:tcPr>
          <w:p>
            <w:r/>
            <w:r>
              <w:rPr>
                <w:rFonts w:ascii="Aptos" w:hAnsi="Aptos"/>
                <w:b w:val="0"/>
                <w:sz w:val="17"/>
              </w:rPr>
              <w:t>Presale Hard Cap</w:t>
            </w:r>
          </w:p>
        </w:tc>
        <w:tc>
          <w:tcPr>
            <w:tcW w:type="dxa" w:w="4968"/>
            <w:vAlign w:val="center"/>
            <w:shd w:fill="F2F7FC"/>
          </w:tcPr>
          <w:p>
            <w:r/>
            <w:r>
              <w:rPr>
                <w:rFonts w:ascii="Aptos" w:hAnsi="Aptos"/>
                <w:b w:val="0"/>
                <w:sz w:val="17"/>
              </w:rPr>
              <w:t>$10,000,000</w:t>
            </w:r>
          </w:p>
        </w:tc>
      </w:tr>
      <w:tr>
        <w:tc>
          <w:tcPr>
            <w:tcW w:type="dxa" w:w="4968"/>
            <w:vAlign w:val="center"/>
          </w:tcPr>
          <w:p>
            <w:r/>
            <w:r>
              <w:rPr>
                <w:rFonts w:ascii="Aptos" w:hAnsi="Aptos"/>
                <w:b w:val="0"/>
                <w:sz w:val="17"/>
              </w:rPr>
              <w:t>Document Status</w:t>
            </w:r>
          </w:p>
        </w:tc>
        <w:tc>
          <w:tcPr>
            <w:tcW w:type="dxa" w:w="4968"/>
            <w:vAlign w:val="center"/>
          </w:tcPr>
          <w:p>
            <w:r/>
            <w:r>
              <w:rPr>
                <w:rFonts w:ascii="Aptos" w:hAnsi="Aptos"/>
                <w:b w:val="0"/>
                <w:sz w:val="17"/>
              </w:rPr>
              <w:t>Working Draft — subject to technical, legal, security and final management review</w:t>
            </w:r>
          </w:p>
        </w:tc>
      </w:tr>
    </w:tbl>
    <w:p>
      <w:pPr>
        <w:jc w:val="center"/>
      </w:pPr>
      <w:r>
        <w:rPr>
          <w:b w:val="0"/>
          <w:i/>
        </w:rPr>
        <w:t>Fixed maximum supply • Long-term contributor vesting • Utility-driven rewards • Controlled circulation • Treasury transparency</w:t>
      </w:r>
    </w:p>
    <w:p>
      <w:r>
        <w:br w:type="page"/>
      </w:r>
    </w:p>
    <w:p>
      <w:pPr>
        <w:pStyle w:val="Heading1"/>
      </w:pPr>
      <w:r>
        <w:t>1. Executive Overview</w:t>
      </w:r>
    </w:p>
    <w:p>
      <w:pPr>
        <w:jc w:val="left"/>
      </w:pPr>
      <w:r>
        <w:rPr>
          <w:b w:val="0"/>
          <w:i w:val="0"/>
        </w:rPr>
        <w:t>TRYV is the native utility token of the Taryven ecosystem. Taryven is being developed around a practical objective: expand the ways qualifying merchants and customers can use digital assets in real-world commerce through Taryven Pay.</w:t>
      </w:r>
    </w:p>
    <w:p>
      <w:pPr>
        <w:jc w:val="left"/>
      </w:pPr>
      <w:r>
        <w:rPr>
          <w:b w:val="0"/>
          <w:i w:val="0"/>
        </w:rPr>
        <w:t>The tokenomics framework is designed around a fixed maximum supply, staged distribution, long-term Founder and Advisor vesting, merchant and customer utility, controlled project reserves, multisignature treasury governance, and transparent market-launch principles.</w:t>
      </w:r>
    </w:p>
    <w:p>
      <w:pPr>
        <w:jc w:val="left"/>
      </w:pPr>
      <w:r>
        <w:rPr>
          <w:b w:val="0"/>
          <w:i w:val="0"/>
        </w:rPr>
        <w:t>An allocation does not automatically mean that the corresponding TRYV is circulating. Maximum supply, allocated supply, vested or released supply, and circulating supply are distinct concepts throughout this framework.</w:t>
      </w:r>
    </w:p>
    <w:p>
      <w:pPr>
        <w:pStyle w:val="Heading1"/>
      </w:pPr>
      <w:r>
        <w:t>2. Taryven Pay — Expanding Payment Options</w:t>
      </w:r>
    </w:p>
    <w:p>
      <w:pPr>
        <w:jc w:val="left"/>
      </w:pPr>
      <w:r>
        <w:rPr>
          <w:b w:val="0"/>
          <w:i w:val="0"/>
        </w:rPr>
        <w:t>Taryven Pay is being developed to provide digital-asset payment options for a broad range of businesses and customers.</w:t>
      </w:r>
    </w:p>
    <w:p>
      <w:pPr>
        <w:jc w:val="left"/>
      </w:pPr>
      <w:r>
        <w:rPr>
          <w:b w:val="0"/>
          <w:i w:val="0"/>
        </w:rPr>
        <w:t>While any qualifying business may benefit from Taryven Pay, part of Taryven's mission is to explore payment solutions for lawful businesses that may have limited access to traditional payment-processing services or that are commonly classified as higher-risk by conventional credit-card processors and financial institutions.</w:t>
      </w:r>
    </w:p>
    <w:p>
      <w:pPr>
        <w:jc w:val="left"/>
      </w:pPr>
      <w:r>
        <w:rPr>
          <w:b w:val="0"/>
          <w:i w:val="0"/>
        </w:rPr>
        <w:t>Depending on applicable laws, regulations, compliance requirements, technical capabilities, and Taryven merchant-acceptance policies, these businesses may include licensed cannabis and dispensary businesses, firearm and sporting-goods businesses, liquor and other regulated retail businesses, tobacco and other lawful age-restricted businesses, and other lawful industries that may experience limited or costly access to conventional payment-processing services.</w:t>
      </w:r>
    </w:p>
    <w:p>
      <w:pPr>
        <w:jc w:val="left"/>
      </w:pPr>
      <w:r>
        <w:rPr>
          <w:b w:val="0"/>
          <w:i w:val="0"/>
        </w:rPr>
        <w:t>Taryven Pay is not limited to higher-risk industries. Retailers, automotive businesses, professional services, restaurants, e-commerce merchants, and other qualifying businesses may also benefit from the Taryven ecosystem.</w:t>
      </w:r>
    </w:p>
    <w:p>
      <w:pPr>
        <w:jc w:val="left"/>
      </w:pPr>
      <w:r>
        <w:rPr>
          <w:b w:val="0"/>
          <w:i w:val="0"/>
        </w:rPr>
        <w:t>Taryven is not being developed as a means of avoiding laws, regulations, or payment-industry requirements. Merchant participation will be subject to Taryven onboarding and verification requirements, technical capabilities, merchant policies, and applicable legal and regulatory requirements. Taryven does not guarantee that every merchant, industry, transaction type, or jurisdiction will be supported.</w:t>
      </w:r>
    </w:p>
    <w:p>
      <w:pPr>
        <w:jc w:val="left"/>
      </w:pPr>
      <w:r>
        <w:rPr>
          <w:b w:val="0"/>
          <w:i w:val="0"/>
        </w:rPr>
        <w:t>Merchant growth is directly connected to TRYV utility. The Merchant &amp; Customer Rewards Pool, Merchant Referral Program, and Ecosystem Growth &amp; Partnerships allocation are intended in part to encourage real merchant participation, customer activity, integrations, and transaction utility rather than relying solely on speculative demand.</w:t>
      </w:r>
    </w:p>
    <w:p>
      <w:pPr>
        <w:pStyle w:val="Heading1"/>
      </w:pPr>
      <w:r>
        <w:t>3. TRYV Supply Policy</w:t>
      </w:r>
    </w:p>
    <w:p>
      <w:pPr>
        <w:jc w:val="left"/>
      </w:pPr>
      <w:r>
        <w:rPr>
          <w:b/>
          <w:i w:val="0"/>
        </w:rPr>
        <w:t>ABSOLUTE MAXIMUM SUPPLY: 1,000,000,000 TRYV</w:t>
      </w:r>
    </w:p>
    <w:p>
      <w:pPr>
        <w:pStyle w:val="ListBullet"/>
      </w:pPr>
      <w:r>
        <w:t>TRYV uses 18 decimal places.</w:t>
      </w:r>
    </w:p>
    <w:p>
      <w:pPr>
        <w:pStyle w:val="ListBullet"/>
      </w:pPr>
      <w:r>
        <w:t>No TRYV may be created beyond the 1 billion maximum supply.</w:t>
      </w:r>
    </w:p>
    <w:p>
      <w:pPr>
        <w:pStyle w:val="ListBullet"/>
      </w:pPr>
      <w:r>
        <w:t>Exhaustion of a reward, referral, or other program allocation does not authorize additional minting beyond the maximum supply.</w:t>
      </w:r>
    </w:p>
    <w:p>
      <w:pPr>
        <w:pStyle w:val="ListBullet"/>
      </w:pPr>
      <w:r>
        <w:t>Taryven may permanently burn legitimately unused TRYV through authorized Treasury or governance action.</w:t>
      </w:r>
    </w:p>
    <w:p>
      <w:pPr>
        <w:pStyle w:val="ListBullet"/>
      </w:pPr>
      <w:r>
        <w:t>No burn schedule, guaranteed burn amount, buyback-and-burn program, or guaranteed supply reduction is promised.</w:t>
      </w:r>
    </w:p>
    <w:p>
      <w:pPr>
        <w:pStyle w:val="ListBullet"/>
      </w:pPr>
      <w:r>
        <w:t>A permanent burn does not create authority to mint replacement TRYV.</w:t>
      </w:r>
    </w:p>
    <w:p>
      <w:pPr>
        <w:pStyle w:val="Heading1"/>
      </w:pPr>
      <w:r>
        <w:t>4. Complete Maximum-Supply Allocation</w:t>
      </w:r>
    </w:p>
    <w:tbl>
      <w:tblPr>
        <w:tblStyle w:val="TableGrid"/>
        <w:tblW w:type="auto" w:w="0"/>
        <w:jc w:val="center"/>
        <w:tblLook w:firstColumn="1" w:firstRow="1" w:lastColumn="0" w:lastRow="0" w:noHBand="0" w:noVBand="1" w:val="04A0"/>
      </w:tblPr>
      <w:tblGrid>
        <w:gridCol w:w="3312"/>
        <w:gridCol w:w="3312"/>
        <w:gridCol w:w="3312"/>
      </w:tblGrid>
      <w:tr>
        <w:tc>
          <w:tcPr>
            <w:tcW w:type="dxa" w:w="3312"/>
            <w:vAlign w:val="center"/>
            <w:shd w:fill="081324"/>
          </w:tcPr>
          <w:p>
            <w:r/>
            <w:r>
              <w:rPr>
                <w:rFonts w:ascii="Aptos" w:hAnsi="Aptos"/>
                <w:b/>
                <w:color w:val="FFFFFF"/>
                <w:sz w:val="17"/>
              </w:rPr>
              <w:t>Allocation</w:t>
            </w:r>
          </w:p>
        </w:tc>
        <w:tc>
          <w:tcPr>
            <w:tcW w:type="dxa" w:w="3312"/>
            <w:vAlign w:val="center"/>
            <w:shd w:fill="081324"/>
          </w:tcPr>
          <w:p>
            <w:r/>
            <w:r>
              <w:rPr>
                <w:rFonts w:ascii="Aptos" w:hAnsi="Aptos"/>
                <w:b/>
                <w:color w:val="FFFFFF"/>
                <w:sz w:val="17"/>
              </w:rPr>
              <w:t>TRYV</w:t>
            </w:r>
          </w:p>
        </w:tc>
        <w:tc>
          <w:tcPr>
            <w:tcW w:type="dxa" w:w="3312"/>
            <w:vAlign w:val="center"/>
            <w:shd w:fill="081324"/>
          </w:tcPr>
          <w:p>
            <w:r/>
            <w:r>
              <w:rPr>
                <w:rFonts w:ascii="Aptos" w:hAnsi="Aptos"/>
                <w:b/>
                <w:color w:val="FFFFFF"/>
                <w:sz w:val="17"/>
              </w:rPr>
              <w:t>% of Max Supply</w:t>
            </w:r>
          </w:p>
        </w:tc>
      </w:tr>
      <w:tr>
        <w:tc>
          <w:tcPr>
            <w:tcW w:type="dxa" w:w="3312"/>
            <w:vAlign w:val="center"/>
          </w:tcPr>
          <w:p>
            <w:r/>
            <w:r>
              <w:rPr>
                <w:rFonts w:ascii="Aptos" w:hAnsi="Aptos"/>
                <w:b w:val="0"/>
                <w:sz w:val="17"/>
              </w:rPr>
              <w:t>Presale &amp; Market Launch</w:t>
            </w:r>
          </w:p>
        </w:tc>
        <w:tc>
          <w:tcPr>
            <w:tcW w:type="dxa" w:w="3312"/>
            <w:vAlign w:val="center"/>
          </w:tcPr>
          <w:p>
            <w:r/>
            <w:r>
              <w:rPr>
                <w:rFonts w:ascii="Aptos" w:hAnsi="Aptos"/>
                <w:b w:val="0"/>
                <w:sz w:val="17"/>
              </w:rPr>
              <w:t>400,000,000</w:t>
            </w:r>
          </w:p>
        </w:tc>
        <w:tc>
          <w:tcPr>
            <w:tcW w:type="dxa" w:w="3312"/>
            <w:vAlign w:val="center"/>
          </w:tcPr>
          <w:p>
            <w:r/>
            <w:r>
              <w:rPr>
                <w:rFonts w:ascii="Aptos" w:hAnsi="Aptos"/>
                <w:b w:val="0"/>
                <w:sz w:val="17"/>
              </w:rPr>
              <w:t>40.0%</w:t>
            </w:r>
          </w:p>
        </w:tc>
      </w:tr>
      <w:tr>
        <w:tc>
          <w:tcPr>
            <w:tcW w:type="dxa" w:w="3312"/>
            <w:vAlign w:val="center"/>
            <w:shd w:fill="F2F7FC"/>
          </w:tcPr>
          <w:p>
            <w:r/>
            <w:r>
              <w:rPr>
                <w:rFonts w:ascii="Aptos" w:hAnsi="Aptos"/>
                <w:b w:val="0"/>
                <w:sz w:val="17"/>
              </w:rPr>
              <w:t>Merchant &amp; Customer Rewards</w:t>
            </w:r>
          </w:p>
        </w:tc>
        <w:tc>
          <w:tcPr>
            <w:tcW w:type="dxa" w:w="3312"/>
            <w:vAlign w:val="center"/>
            <w:shd w:fill="F2F7FC"/>
          </w:tcPr>
          <w:p>
            <w:r/>
            <w:r>
              <w:rPr>
                <w:rFonts w:ascii="Aptos" w:hAnsi="Aptos"/>
                <w:b w:val="0"/>
                <w:sz w:val="17"/>
              </w:rPr>
              <w:t>200,000,000</w:t>
            </w:r>
          </w:p>
        </w:tc>
        <w:tc>
          <w:tcPr>
            <w:tcW w:type="dxa" w:w="3312"/>
            <w:vAlign w:val="center"/>
            <w:shd w:fill="F2F7FC"/>
          </w:tcPr>
          <w:p>
            <w:r/>
            <w:r>
              <w:rPr>
                <w:rFonts w:ascii="Aptos" w:hAnsi="Aptos"/>
                <w:b w:val="0"/>
                <w:sz w:val="17"/>
              </w:rPr>
              <w:t>20.0%</w:t>
            </w:r>
          </w:p>
        </w:tc>
      </w:tr>
      <w:tr>
        <w:tc>
          <w:tcPr>
            <w:tcW w:type="dxa" w:w="3312"/>
            <w:vAlign w:val="center"/>
          </w:tcPr>
          <w:p>
            <w:r/>
            <w:r>
              <w:rPr>
                <w:rFonts w:ascii="Aptos" w:hAnsi="Aptos"/>
                <w:b w:val="0"/>
                <w:sz w:val="17"/>
              </w:rPr>
              <w:t>Treasury Reserve</w:t>
            </w:r>
          </w:p>
        </w:tc>
        <w:tc>
          <w:tcPr>
            <w:tcW w:type="dxa" w:w="3312"/>
            <w:vAlign w:val="center"/>
          </w:tcPr>
          <w:p>
            <w:r/>
            <w:r>
              <w:rPr>
                <w:rFonts w:ascii="Aptos" w:hAnsi="Aptos"/>
                <w:b w:val="0"/>
                <w:sz w:val="17"/>
              </w:rPr>
              <w:t>125,000,000</w:t>
            </w:r>
          </w:p>
        </w:tc>
        <w:tc>
          <w:tcPr>
            <w:tcW w:type="dxa" w:w="3312"/>
            <w:vAlign w:val="center"/>
          </w:tcPr>
          <w:p>
            <w:r/>
            <w:r>
              <w:rPr>
                <w:rFonts w:ascii="Aptos" w:hAnsi="Aptos"/>
                <w:b w:val="0"/>
                <w:sz w:val="17"/>
              </w:rPr>
              <w:t>12.5%</w:t>
            </w:r>
          </w:p>
        </w:tc>
      </w:tr>
      <w:tr>
        <w:tc>
          <w:tcPr>
            <w:tcW w:type="dxa" w:w="3312"/>
            <w:vAlign w:val="center"/>
            <w:shd w:fill="F2F7FC"/>
          </w:tcPr>
          <w:p>
            <w:r/>
            <w:r>
              <w:rPr>
                <w:rFonts w:ascii="Aptos" w:hAnsi="Aptos"/>
                <w:b w:val="0"/>
                <w:sz w:val="17"/>
              </w:rPr>
              <w:t>Ecosystem Growth &amp; Partnerships</w:t>
            </w:r>
          </w:p>
        </w:tc>
        <w:tc>
          <w:tcPr>
            <w:tcW w:type="dxa" w:w="3312"/>
            <w:vAlign w:val="center"/>
            <w:shd w:fill="F2F7FC"/>
          </w:tcPr>
          <w:p>
            <w:r/>
            <w:r>
              <w:rPr>
                <w:rFonts w:ascii="Aptos" w:hAnsi="Aptos"/>
                <w:b w:val="0"/>
                <w:sz w:val="17"/>
              </w:rPr>
              <w:t>100,000,000</w:t>
            </w:r>
          </w:p>
        </w:tc>
        <w:tc>
          <w:tcPr>
            <w:tcW w:type="dxa" w:w="3312"/>
            <w:vAlign w:val="center"/>
            <w:shd w:fill="F2F7FC"/>
          </w:tcPr>
          <w:p>
            <w:r/>
            <w:r>
              <w:rPr>
                <w:rFonts w:ascii="Aptos" w:hAnsi="Aptos"/>
                <w:b w:val="0"/>
                <w:sz w:val="17"/>
              </w:rPr>
              <w:t>10.0%</w:t>
            </w:r>
          </w:p>
        </w:tc>
      </w:tr>
      <w:tr>
        <w:tc>
          <w:tcPr>
            <w:tcW w:type="dxa" w:w="3312"/>
            <w:vAlign w:val="center"/>
          </w:tcPr>
          <w:p>
            <w:r/>
            <w:r>
              <w:rPr>
                <w:rFonts w:ascii="Aptos" w:hAnsi="Aptos"/>
                <w:b w:val="0"/>
                <w:sz w:val="17"/>
              </w:rPr>
              <w:t>Founder &amp; Advisory</w:t>
            </w:r>
          </w:p>
        </w:tc>
        <w:tc>
          <w:tcPr>
            <w:tcW w:type="dxa" w:w="3312"/>
            <w:vAlign w:val="center"/>
          </w:tcPr>
          <w:p>
            <w:r/>
            <w:r>
              <w:rPr>
                <w:rFonts w:ascii="Aptos" w:hAnsi="Aptos"/>
                <w:b w:val="0"/>
                <w:sz w:val="17"/>
              </w:rPr>
              <w:t>75,000,000</w:t>
            </w:r>
          </w:p>
        </w:tc>
        <w:tc>
          <w:tcPr>
            <w:tcW w:type="dxa" w:w="3312"/>
            <w:vAlign w:val="center"/>
          </w:tcPr>
          <w:p>
            <w:r/>
            <w:r>
              <w:rPr>
                <w:rFonts w:ascii="Aptos" w:hAnsi="Aptos"/>
                <w:b w:val="0"/>
                <w:sz w:val="17"/>
              </w:rPr>
              <w:t>7.5%</w:t>
            </w:r>
          </w:p>
        </w:tc>
      </w:tr>
      <w:tr>
        <w:tc>
          <w:tcPr>
            <w:tcW w:type="dxa" w:w="3312"/>
            <w:vAlign w:val="center"/>
            <w:shd w:fill="F2F7FC"/>
          </w:tcPr>
          <w:p>
            <w:r/>
            <w:r>
              <w:rPr>
                <w:rFonts w:ascii="Aptos" w:hAnsi="Aptos"/>
                <w:b w:val="0"/>
                <w:sz w:val="17"/>
              </w:rPr>
              <w:t>Development &amp; Operations</w:t>
            </w:r>
          </w:p>
        </w:tc>
        <w:tc>
          <w:tcPr>
            <w:tcW w:type="dxa" w:w="3312"/>
            <w:vAlign w:val="center"/>
            <w:shd w:fill="F2F7FC"/>
          </w:tcPr>
          <w:p>
            <w:r/>
            <w:r>
              <w:rPr>
                <w:rFonts w:ascii="Aptos" w:hAnsi="Aptos"/>
                <w:b w:val="0"/>
                <w:sz w:val="17"/>
              </w:rPr>
              <w:t>50,000,000</w:t>
            </w:r>
          </w:p>
        </w:tc>
        <w:tc>
          <w:tcPr>
            <w:tcW w:type="dxa" w:w="3312"/>
            <w:vAlign w:val="center"/>
            <w:shd w:fill="F2F7FC"/>
          </w:tcPr>
          <w:p>
            <w:r/>
            <w:r>
              <w:rPr>
                <w:rFonts w:ascii="Aptos" w:hAnsi="Aptos"/>
                <w:b w:val="0"/>
                <w:sz w:val="17"/>
              </w:rPr>
              <w:t>5.0%</w:t>
            </w:r>
          </w:p>
        </w:tc>
      </w:tr>
      <w:tr>
        <w:tc>
          <w:tcPr>
            <w:tcW w:type="dxa" w:w="3312"/>
            <w:vAlign w:val="center"/>
          </w:tcPr>
          <w:p>
            <w:r/>
            <w:r>
              <w:rPr>
                <w:rFonts w:ascii="Aptos" w:hAnsi="Aptos"/>
                <w:b w:val="0"/>
                <w:sz w:val="17"/>
              </w:rPr>
              <w:t>Community &amp; Promotional Programs</w:t>
            </w:r>
          </w:p>
        </w:tc>
        <w:tc>
          <w:tcPr>
            <w:tcW w:type="dxa" w:w="3312"/>
            <w:vAlign w:val="center"/>
          </w:tcPr>
          <w:p>
            <w:r/>
            <w:r>
              <w:rPr>
                <w:rFonts w:ascii="Aptos" w:hAnsi="Aptos"/>
                <w:b w:val="0"/>
                <w:sz w:val="17"/>
              </w:rPr>
              <w:t>30,000,000</w:t>
            </w:r>
          </w:p>
        </w:tc>
        <w:tc>
          <w:tcPr>
            <w:tcW w:type="dxa" w:w="3312"/>
            <w:vAlign w:val="center"/>
          </w:tcPr>
          <w:p>
            <w:r/>
            <w:r>
              <w:rPr>
                <w:rFonts w:ascii="Aptos" w:hAnsi="Aptos"/>
                <w:b w:val="0"/>
                <w:sz w:val="17"/>
              </w:rPr>
              <w:t>3.0%</w:t>
            </w:r>
          </w:p>
        </w:tc>
      </w:tr>
      <w:tr>
        <w:tc>
          <w:tcPr>
            <w:tcW w:type="dxa" w:w="3312"/>
            <w:vAlign w:val="center"/>
            <w:shd w:fill="F2F7FC"/>
          </w:tcPr>
          <w:p>
            <w:r/>
            <w:r>
              <w:rPr>
                <w:rFonts w:ascii="Aptos" w:hAnsi="Aptos"/>
                <w:b w:val="0"/>
                <w:sz w:val="17"/>
              </w:rPr>
              <w:t>Merchant Referral Program</w:t>
            </w:r>
          </w:p>
        </w:tc>
        <w:tc>
          <w:tcPr>
            <w:tcW w:type="dxa" w:w="3312"/>
            <w:vAlign w:val="center"/>
            <w:shd w:fill="F2F7FC"/>
          </w:tcPr>
          <w:p>
            <w:r/>
            <w:r>
              <w:rPr>
                <w:rFonts w:ascii="Aptos" w:hAnsi="Aptos"/>
                <w:b w:val="0"/>
                <w:sz w:val="17"/>
              </w:rPr>
              <w:t>20,000,000</w:t>
            </w:r>
          </w:p>
        </w:tc>
        <w:tc>
          <w:tcPr>
            <w:tcW w:type="dxa" w:w="3312"/>
            <w:vAlign w:val="center"/>
            <w:shd w:fill="F2F7FC"/>
          </w:tcPr>
          <w:p>
            <w:r/>
            <w:r>
              <w:rPr>
                <w:rFonts w:ascii="Aptos" w:hAnsi="Aptos"/>
                <w:b w:val="0"/>
                <w:sz w:val="17"/>
              </w:rPr>
              <w:t>2.0%</w:t>
            </w:r>
          </w:p>
        </w:tc>
      </w:tr>
      <w:tr>
        <w:tc>
          <w:tcPr>
            <w:tcW w:type="dxa" w:w="3312"/>
            <w:vAlign w:val="center"/>
            <w:shd w:fill="DCEEFF"/>
          </w:tcPr>
          <w:p>
            <w:r/>
            <w:r>
              <w:rPr>
                <w:rFonts w:ascii="Aptos" w:hAnsi="Aptos"/>
                <w:b/>
                <w:sz w:val="17"/>
              </w:rPr>
              <w:t>TOTAL</w:t>
            </w:r>
          </w:p>
        </w:tc>
        <w:tc>
          <w:tcPr>
            <w:tcW w:type="dxa" w:w="3312"/>
            <w:vAlign w:val="center"/>
            <w:shd w:fill="DCEEFF"/>
          </w:tcPr>
          <w:p>
            <w:r/>
            <w:r>
              <w:rPr>
                <w:rFonts w:ascii="Aptos" w:hAnsi="Aptos"/>
                <w:b/>
                <w:sz w:val="17"/>
              </w:rPr>
              <w:t>1,000,000,000</w:t>
            </w:r>
          </w:p>
        </w:tc>
        <w:tc>
          <w:tcPr>
            <w:tcW w:type="dxa" w:w="3312"/>
            <w:vAlign w:val="center"/>
            <w:shd w:fill="DCEEFF"/>
          </w:tcPr>
          <w:p>
            <w:r/>
            <w:r>
              <w:rPr>
                <w:rFonts w:ascii="Aptos" w:hAnsi="Aptos"/>
                <w:b/>
                <w:sz w:val="17"/>
              </w:rPr>
              <w:t>100.0%</w:t>
            </w:r>
          </w:p>
        </w:tc>
      </w:tr>
    </w:tbl>
    <w:p>
      <w:pPr>
        <w:jc w:val="left"/>
      </w:pPr>
      <w:r>
        <w:rPr>
          <w:b w:val="0"/>
          <w:i w:val="0"/>
        </w:rPr>
        <w:t>The full maximum supply is assigned to defined tokenomics categories. Tokens may remain reserved until earned, vested, distributed, or otherwise released according to the applicable program.</w:t>
      </w:r>
    </w:p>
    <w:p>
      <w:pPr>
        <w:pStyle w:val="Heading1"/>
      </w:pPr>
      <w:r>
        <w:t>5. Presale &amp; Market Launch — 400,000,000 TRYV</w:t>
      </w:r>
    </w:p>
    <w:p>
      <w:pPr>
        <w:jc w:val="left"/>
      </w:pPr>
      <w:r>
        <w:rPr>
          <w:b w:val="0"/>
          <w:i w:val="0"/>
        </w:rPr>
        <w:t>A maximum of 400 million TRYV (40% of maximum supply) is assigned to the combined Presale &amp; Market Launch category. This does not mean that 400 million TRYV will automatically be sold during the presale.</w:t>
      </w:r>
    </w:p>
    <w:p>
      <w:pPr>
        <w:jc w:val="left"/>
      </w:pPr>
      <w:r>
        <w:rPr>
          <w:b w:val="0"/>
          <w:i w:val="0"/>
        </w:rPr>
        <w:t>Presale purchaser allocations are determined by actual qualifying purchases and the applicable pricing stage. Unused or otherwise unallocated TRYV in this category does not automatically enter circulation and does not become additional Founder or Advisor allocation.</w:t>
      </w:r>
    </w:p>
    <w:p>
      <w:pPr>
        <w:pStyle w:val="Heading2"/>
      </w:pPr>
      <w:r>
        <w:t>5.1 Presale Pricing</w:t>
      </w:r>
    </w:p>
    <w:tbl>
      <w:tblPr>
        <w:tblStyle w:val="TableGrid"/>
        <w:tblW w:type="auto" w:w="0"/>
        <w:jc w:val="center"/>
        <w:tblLook w:firstColumn="1" w:firstRow="1" w:lastColumn="0" w:lastRow="0" w:noHBand="0" w:noVBand="1" w:val="04A0"/>
      </w:tblPr>
      <w:tblGrid>
        <w:gridCol w:w="3312"/>
        <w:gridCol w:w="3312"/>
        <w:gridCol w:w="3312"/>
      </w:tblGrid>
      <w:tr>
        <w:tc>
          <w:tcPr>
            <w:tcW w:type="dxa" w:w="3312"/>
            <w:vAlign w:val="center"/>
            <w:shd w:fill="081324"/>
          </w:tcPr>
          <w:p>
            <w:r/>
            <w:r>
              <w:rPr>
                <w:rFonts w:ascii="Aptos" w:hAnsi="Aptos"/>
                <w:b/>
                <w:color w:val="FFFFFF"/>
                <w:sz w:val="17"/>
              </w:rPr>
              <w:t>Stage</w:t>
            </w:r>
          </w:p>
        </w:tc>
        <w:tc>
          <w:tcPr>
            <w:tcW w:type="dxa" w:w="3312"/>
            <w:vAlign w:val="center"/>
            <w:shd w:fill="081324"/>
          </w:tcPr>
          <w:p>
            <w:r/>
            <w:r>
              <w:rPr>
                <w:rFonts w:ascii="Aptos" w:hAnsi="Aptos"/>
                <w:b/>
                <w:color w:val="FFFFFF"/>
                <w:sz w:val="17"/>
              </w:rPr>
              <w:t>Cumulative Raise</w:t>
            </w:r>
          </w:p>
        </w:tc>
        <w:tc>
          <w:tcPr>
            <w:tcW w:type="dxa" w:w="3312"/>
            <w:vAlign w:val="center"/>
            <w:shd w:fill="081324"/>
          </w:tcPr>
          <w:p>
            <w:r/>
            <w:r>
              <w:rPr>
                <w:rFonts w:ascii="Aptos" w:hAnsi="Aptos"/>
                <w:b/>
                <w:color w:val="FFFFFF"/>
                <w:sz w:val="17"/>
              </w:rPr>
              <w:t>TRYV Price</w:t>
            </w:r>
          </w:p>
        </w:tc>
      </w:tr>
      <w:tr>
        <w:tc>
          <w:tcPr>
            <w:tcW w:type="dxa" w:w="3312"/>
            <w:vAlign w:val="center"/>
          </w:tcPr>
          <w:p>
            <w:r/>
            <w:r>
              <w:rPr>
                <w:rFonts w:ascii="Aptos" w:hAnsi="Aptos"/>
                <w:b w:val="0"/>
                <w:sz w:val="17"/>
              </w:rPr>
              <w:t>1</w:t>
            </w:r>
          </w:p>
        </w:tc>
        <w:tc>
          <w:tcPr>
            <w:tcW w:type="dxa" w:w="3312"/>
            <w:vAlign w:val="center"/>
          </w:tcPr>
          <w:p>
            <w:r/>
            <w:r>
              <w:rPr>
                <w:rFonts w:ascii="Aptos" w:hAnsi="Aptos"/>
                <w:b w:val="0"/>
                <w:sz w:val="17"/>
              </w:rPr>
              <w:t>$0 – $500,000</w:t>
            </w:r>
          </w:p>
        </w:tc>
        <w:tc>
          <w:tcPr>
            <w:tcW w:type="dxa" w:w="3312"/>
            <w:vAlign w:val="center"/>
          </w:tcPr>
          <w:p>
            <w:r/>
            <w:r>
              <w:rPr>
                <w:rFonts w:ascii="Aptos" w:hAnsi="Aptos"/>
                <w:b w:val="0"/>
                <w:sz w:val="17"/>
              </w:rPr>
              <w:t>$0.030</w:t>
            </w:r>
          </w:p>
        </w:tc>
      </w:tr>
      <w:tr>
        <w:tc>
          <w:tcPr>
            <w:tcW w:type="dxa" w:w="3312"/>
            <w:vAlign w:val="center"/>
            <w:shd w:fill="F2F7FC"/>
          </w:tcPr>
          <w:p>
            <w:r/>
            <w:r>
              <w:rPr>
                <w:rFonts w:ascii="Aptos" w:hAnsi="Aptos"/>
                <w:b w:val="0"/>
                <w:sz w:val="17"/>
              </w:rPr>
              <w:t>2</w:t>
            </w:r>
          </w:p>
        </w:tc>
        <w:tc>
          <w:tcPr>
            <w:tcW w:type="dxa" w:w="3312"/>
            <w:vAlign w:val="center"/>
            <w:shd w:fill="F2F7FC"/>
          </w:tcPr>
          <w:p>
            <w:r/>
            <w:r>
              <w:rPr>
                <w:rFonts w:ascii="Aptos" w:hAnsi="Aptos"/>
                <w:b w:val="0"/>
                <w:sz w:val="17"/>
              </w:rPr>
              <w:t>$500,000 – $1,500,000</w:t>
            </w:r>
          </w:p>
        </w:tc>
        <w:tc>
          <w:tcPr>
            <w:tcW w:type="dxa" w:w="3312"/>
            <w:vAlign w:val="center"/>
            <w:shd w:fill="F2F7FC"/>
          </w:tcPr>
          <w:p>
            <w:r/>
            <w:r>
              <w:rPr>
                <w:rFonts w:ascii="Aptos" w:hAnsi="Aptos"/>
                <w:b w:val="0"/>
                <w:sz w:val="17"/>
              </w:rPr>
              <w:t>$0.035</w:t>
            </w:r>
          </w:p>
        </w:tc>
      </w:tr>
      <w:tr>
        <w:tc>
          <w:tcPr>
            <w:tcW w:type="dxa" w:w="3312"/>
            <w:vAlign w:val="center"/>
          </w:tcPr>
          <w:p>
            <w:r/>
            <w:r>
              <w:rPr>
                <w:rFonts w:ascii="Aptos" w:hAnsi="Aptos"/>
                <w:b w:val="0"/>
                <w:sz w:val="17"/>
              </w:rPr>
              <w:t>3</w:t>
            </w:r>
          </w:p>
        </w:tc>
        <w:tc>
          <w:tcPr>
            <w:tcW w:type="dxa" w:w="3312"/>
            <w:vAlign w:val="center"/>
          </w:tcPr>
          <w:p>
            <w:r/>
            <w:r>
              <w:rPr>
                <w:rFonts w:ascii="Aptos" w:hAnsi="Aptos"/>
                <w:b w:val="0"/>
                <w:sz w:val="17"/>
              </w:rPr>
              <w:t>$1,500,000 – $3,000,000</w:t>
            </w:r>
          </w:p>
        </w:tc>
        <w:tc>
          <w:tcPr>
            <w:tcW w:type="dxa" w:w="3312"/>
            <w:vAlign w:val="center"/>
          </w:tcPr>
          <w:p>
            <w:r/>
            <w:r>
              <w:rPr>
                <w:rFonts w:ascii="Aptos" w:hAnsi="Aptos"/>
                <w:b w:val="0"/>
                <w:sz w:val="17"/>
              </w:rPr>
              <w:t>$0.040</w:t>
            </w:r>
          </w:p>
        </w:tc>
      </w:tr>
      <w:tr>
        <w:tc>
          <w:tcPr>
            <w:tcW w:type="dxa" w:w="3312"/>
            <w:vAlign w:val="center"/>
            <w:shd w:fill="F2F7FC"/>
          </w:tcPr>
          <w:p>
            <w:r/>
            <w:r>
              <w:rPr>
                <w:rFonts w:ascii="Aptos" w:hAnsi="Aptos"/>
                <w:b w:val="0"/>
                <w:sz w:val="17"/>
              </w:rPr>
              <w:t>4</w:t>
            </w:r>
          </w:p>
        </w:tc>
        <w:tc>
          <w:tcPr>
            <w:tcW w:type="dxa" w:w="3312"/>
            <w:vAlign w:val="center"/>
            <w:shd w:fill="F2F7FC"/>
          </w:tcPr>
          <w:p>
            <w:r/>
            <w:r>
              <w:rPr>
                <w:rFonts w:ascii="Aptos" w:hAnsi="Aptos"/>
                <w:b w:val="0"/>
                <w:sz w:val="17"/>
              </w:rPr>
              <w:t>$3,000,000 – $5,000,000</w:t>
            </w:r>
          </w:p>
        </w:tc>
        <w:tc>
          <w:tcPr>
            <w:tcW w:type="dxa" w:w="3312"/>
            <w:vAlign w:val="center"/>
            <w:shd w:fill="F2F7FC"/>
          </w:tcPr>
          <w:p>
            <w:r/>
            <w:r>
              <w:rPr>
                <w:rFonts w:ascii="Aptos" w:hAnsi="Aptos"/>
                <w:b w:val="0"/>
                <w:sz w:val="17"/>
              </w:rPr>
              <w:t>$0.045</w:t>
            </w:r>
          </w:p>
        </w:tc>
      </w:tr>
      <w:tr>
        <w:tc>
          <w:tcPr>
            <w:tcW w:type="dxa" w:w="3312"/>
            <w:vAlign w:val="center"/>
          </w:tcPr>
          <w:p>
            <w:r/>
            <w:r>
              <w:rPr>
                <w:rFonts w:ascii="Aptos" w:hAnsi="Aptos"/>
                <w:b w:val="0"/>
                <w:sz w:val="17"/>
              </w:rPr>
              <w:t>5</w:t>
            </w:r>
          </w:p>
        </w:tc>
        <w:tc>
          <w:tcPr>
            <w:tcW w:type="dxa" w:w="3312"/>
            <w:vAlign w:val="center"/>
          </w:tcPr>
          <w:p>
            <w:r/>
            <w:r>
              <w:rPr>
                <w:rFonts w:ascii="Aptos" w:hAnsi="Aptos"/>
                <w:b w:val="0"/>
                <w:sz w:val="17"/>
              </w:rPr>
              <w:t>$5,000,000 – $7,500,000</w:t>
            </w:r>
          </w:p>
        </w:tc>
        <w:tc>
          <w:tcPr>
            <w:tcW w:type="dxa" w:w="3312"/>
            <w:vAlign w:val="center"/>
          </w:tcPr>
          <w:p>
            <w:r/>
            <w:r>
              <w:rPr>
                <w:rFonts w:ascii="Aptos" w:hAnsi="Aptos"/>
                <w:b w:val="0"/>
                <w:sz w:val="17"/>
              </w:rPr>
              <w:t>$0.050</w:t>
            </w:r>
          </w:p>
        </w:tc>
      </w:tr>
      <w:tr>
        <w:tc>
          <w:tcPr>
            <w:tcW w:type="dxa" w:w="3312"/>
            <w:vAlign w:val="center"/>
            <w:shd w:fill="F2F7FC"/>
          </w:tcPr>
          <w:p>
            <w:r/>
            <w:r>
              <w:rPr>
                <w:rFonts w:ascii="Aptos" w:hAnsi="Aptos"/>
                <w:b w:val="0"/>
                <w:sz w:val="17"/>
              </w:rPr>
              <w:t>6</w:t>
            </w:r>
          </w:p>
        </w:tc>
        <w:tc>
          <w:tcPr>
            <w:tcW w:type="dxa" w:w="3312"/>
            <w:vAlign w:val="center"/>
            <w:shd w:fill="F2F7FC"/>
          </w:tcPr>
          <w:p>
            <w:r/>
            <w:r>
              <w:rPr>
                <w:rFonts w:ascii="Aptos" w:hAnsi="Aptos"/>
                <w:b w:val="0"/>
                <w:sz w:val="17"/>
              </w:rPr>
              <w:t>$7,500,000 – $10,000,000</w:t>
            </w:r>
          </w:p>
        </w:tc>
        <w:tc>
          <w:tcPr>
            <w:tcW w:type="dxa" w:w="3312"/>
            <w:vAlign w:val="center"/>
            <w:shd w:fill="F2F7FC"/>
          </w:tcPr>
          <w:p>
            <w:r/>
            <w:r>
              <w:rPr>
                <w:rFonts w:ascii="Aptos" w:hAnsi="Aptos"/>
                <w:b w:val="0"/>
                <w:sz w:val="17"/>
              </w:rPr>
              <w:t>$0.055</w:t>
            </w:r>
          </w:p>
        </w:tc>
      </w:tr>
    </w:tbl>
    <w:p>
      <w:pPr>
        <w:pStyle w:val="ListBullet"/>
      </w:pPr>
      <w:r>
        <w:t>Presale hard cap: $10,000,000.</w:t>
      </w:r>
    </w:p>
    <w:p>
      <w:pPr>
        <w:pStyle w:val="ListBullet"/>
      </w:pPr>
      <w:r>
        <w:t>Soft-cap milestone: $1,500,000. This is a project milestone and is not an automatic-refund guarantee.</w:t>
      </w:r>
    </w:p>
    <w:p>
      <w:pPr>
        <w:pStyle w:val="ListBullet"/>
      </w:pPr>
      <w:r>
        <w:t>Minimum qualifying purchase: $25, subject to final hard-cap-fill mechanics.</w:t>
      </w:r>
    </w:p>
    <w:p>
      <w:pPr>
        <w:pStyle w:val="ListBullet"/>
      </w:pPr>
      <w:r>
        <w:t>At the full $10 million hard cap, the current six-stage pricing schedule mathematically allocates approximately 222.64 million TRYV to presale purchasers.</w:t>
      </w:r>
    </w:p>
    <w:p>
      <w:pPr>
        <w:pStyle w:val="Heading1"/>
      </w:pPr>
      <w:r>
        <w:t>6. Presale Purchaser Release Schedule</w:t>
      </w:r>
    </w:p>
    <w:p>
      <w:pPr>
        <w:jc w:val="left"/>
      </w:pPr>
      <w:r>
        <w:rPr>
          <w:b/>
          <w:i w:val="0"/>
        </w:rPr>
        <w:t>25% AT TGE → REMAINING 75% IN 12 EQUAL 30-DAY RELEASES</w:t>
      </w:r>
    </w:p>
    <w:p>
      <w:pPr>
        <w:jc w:val="left"/>
      </w:pPr>
      <w:r>
        <w:rPr>
          <w:b w:val="0"/>
          <w:i w:val="0"/>
        </w:rPr>
        <w:t>Twenty-five percent of each purchaser's TRYV allocation becomes vested at TGE. The remaining 75% is released in 12 equal installments, each equal to 6.25% of the purchaser's original allocation, every 30 days.</w:t>
      </w:r>
    </w:p>
    <w:p>
      <w:pPr>
        <w:jc w:val="left"/>
      </w:pPr>
      <w:r>
        <w:rPr>
          <w:b w:val="0"/>
          <w:i w:val="0"/>
        </w:rPr>
        <w:t>At a hypothetical fully subscribed $10 million presale, approximately 222.64 million TRYV would be allocated to purchasers and approximately 55.66 million TRYV would be vested at TGE. Actual amounts depend on actual presale participation.</w:t>
      </w:r>
    </w:p>
    <w:p>
      <w:pPr>
        <w:pStyle w:val="Heading1"/>
      </w:pPr>
      <w:r>
        <w:t>7. Founder &amp; Advisory Allocation — 75,000,000 TRYV</w:t>
      </w:r>
    </w:p>
    <w:tbl>
      <w:tblPr>
        <w:tblStyle w:val="TableGrid"/>
        <w:tblW w:type="auto" w:w="0"/>
        <w:jc w:val="center"/>
        <w:tblLook w:firstColumn="1" w:firstRow="1" w:lastColumn="0" w:lastRow="0" w:noHBand="0" w:noVBand="1" w:val="04A0"/>
      </w:tblPr>
      <w:tblGrid>
        <w:gridCol w:w="1987"/>
        <w:gridCol w:w="1987"/>
        <w:gridCol w:w="1987"/>
        <w:gridCol w:w="1987"/>
        <w:gridCol w:w="1987"/>
      </w:tblGrid>
      <w:tr>
        <w:tc>
          <w:tcPr>
            <w:tcW w:type="dxa" w:w="1987"/>
            <w:vAlign w:val="center"/>
            <w:shd w:fill="081324"/>
          </w:tcPr>
          <w:p>
            <w:r/>
            <w:r>
              <w:rPr>
                <w:rFonts w:ascii="Aptos" w:hAnsi="Aptos"/>
                <w:b/>
                <w:color w:val="FFFFFF"/>
                <w:sz w:val="17"/>
              </w:rPr>
              <w:t>Position</w:t>
            </w:r>
          </w:p>
        </w:tc>
        <w:tc>
          <w:tcPr>
            <w:tcW w:type="dxa" w:w="1987"/>
            <w:vAlign w:val="center"/>
            <w:shd w:fill="081324"/>
          </w:tcPr>
          <w:p>
            <w:r/>
            <w:r>
              <w:rPr>
                <w:rFonts w:ascii="Aptos" w:hAnsi="Aptos"/>
                <w:b/>
                <w:color w:val="FFFFFF"/>
                <w:sz w:val="17"/>
              </w:rPr>
              <w:t>Seats</w:t>
            </w:r>
          </w:p>
        </w:tc>
        <w:tc>
          <w:tcPr>
            <w:tcW w:type="dxa" w:w="1987"/>
            <w:vAlign w:val="center"/>
            <w:shd w:fill="081324"/>
          </w:tcPr>
          <w:p>
            <w:r/>
            <w:r>
              <w:rPr>
                <w:rFonts w:ascii="Aptos" w:hAnsi="Aptos"/>
                <w:b/>
                <w:color w:val="FFFFFF"/>
                <w:sz w:val="17"/>
              </w:rPr>
              <w:t>TRYV Each</w:t>
            </w:r>
          </w:p>
        </w:tc>
        <w:tc>
          <w:tcPr>
            <w:tcW w:type="dxa" w:w="1987"/>
            <w:vAlign w:val="center"/>
            <w:shd w:fill="081324"/>
          </w:tcPr>
          <w:p>
            <w:r/>
            <w:r>
              <w:rPr>
                <w:rFonts w:ascii="Aptos" w:hAnsi="Aptos"/>
                <w:b/>
                <w:color w:val="FFFFFF"/>
                <w:sz w:val="17"/>
              </w:rPr>
              <w:t>Total TRYV</w:t>
            </w:r>
          </w:p>
        </w:tc>
        <w:tc>
          <w:tcPr>
            <w:tcW w:type="dxa" w:w="1987"/>
            <w:vAlign w:val="center"/>
            <w:shd w:fill="081324"/>
          </w:tcPr>
          <w:p>
            <w:r/>
            <w:r>
              <w:rPr>
                <w:rFonts w:ascii="Aptos" w:hAnsi="Aptos"/>
                <w:b/>
                <w:color w:val="FFFFFF"/>
                <w:sz w:val="17"/>
              </w:rPr>
              <w:t>% Supply</w:t>
            </w:r>
          </w:p>
        </w:tc>
      </w:tr>
      <w:tr>
        <w:tc>
          <w:tcPr>
            <w:tcW w:type="dxa" w:w="1987"/>
            <w:vAlign w:val="center"/>
          </w:tcPr>
          <w:p>
            <w:r/>
            <w:r>
              <w:rPr>
                <w:rFonts w:ascii="Aptos" w:hAnsi="Aptos"/>
                <w:b w:val="0"/>
                <w:sz w:val="17"/>
              </w:rPr>
              <w:t>Lead Founder</w:t>
            </w:r>
          </w:p>
        </w:tc>
        <w:tc>
          <w:tcPr>
            <w:tcW w:type="dxa" w:w="1987"/>
            <w:vAlign w:val="center"/>
          </w:tcPr>
          <w:p>
            <w:r/>
            <w:r>
              <w:rPr>
                <w:rFonts w:ascii="Aptos" w:hAnsi="Aptos"/>
                <w:b w:val="0"/>
                <w:sz w:val="17"/>
              </w:rPr>
              <w:t>1</w:t>
            </w:r>
          </w:p>
        </w:tc>
        <w:tc>
          <w:tcPr>
            <w:tcW w:type="dxa" w:w="1987"/>
            <w:vAlign w:val="center"/>
          </w:tcPr>
          <w:p>
            <w:r/>
            <w:r>
              <w:rPr>
                <w:rFonts w:ascii="Aptos" w:hAnsi="Aptos"/>
                <w:b w:val="0"/>
                <w:sz w:val="17"/>
              </w:rPr>
              <w:t>19,000,000</w:t>
            </w:r>
          </w:p>
        </w:tc>
        <w:tc>
          <w:tcPr>
            <w:tcW w:type="dxa" w:w="1987"/>
            <w:vAlign w:val="center"/>
          </w:tcPr>
          <w:p>
            <w:r/>
            <w:r>
              <w:rPr>
                <w:rFonts w:ascii="Aptos" w:hAnsi="Aptos"/>
                <w:b w:val="0"/>
                <w:sz w:val="17"/>
              </w:rPr>
              <w:t>19,000,000</w:t>
            </w:r>
          </w:p>
        </w:tc>
        <w:tc>
          <w:tcPr>
            <w:tcW w:type="dxa" w:w="1987"/>
            <w:vAlign w:val="center"/>
          </w:tcPr>
          <w:p>
            <w:r/>
            <w:r>
              <w:rPr>
                <w:rFonts w:ascii="Aptos" w:hAnsi="Aptos"/>
                <w:b w:val="0"/>
                <w:sz w:val="17"/>
              </w:rPr>
              <w:t>1.9%</w:t>
            </w:r>
          </w:p>
        </w:tc>
      </w:tr>
      <w:tr>
        <w:tc>
          <w:tcPr>
            <w:tcW w:type="dxa" w:w="1987"/>
            <w:vAlign w:val="center"/>
            <w:shd w:fill="F2F7FC"/>
          </w:tcPr>
          <w:p>
            <w:r/>
            <w:r>
              <w:rPr>
                <w:rFonts w:ascii="Aptos" w:hAnsi="Aptos"/>
                <w:b w:val="0"/>
                <w:sz w:val="17"/>
              </w:rPr>
              <w:t>Founder</w:t>
            </w:r>
          </w:p>
        </w:tc>
        <w:tc>
          <w:tcPr>
            <w:tcW w:type="dxa" w:w="1987"/>
            <w:vAlign w:val="center"/>
            <w:shd w:fill="F2F7FC"/>
          </w:tcPr>
          <w:p>
            <w:r/>
            <w:r>
              <w:rPr>
                <w:rFonts w:ascii="Aptos" w:hAnsi="Aptos"/>
                <w:b w:val="0"/>
                <w:sz w:val="17"/>
              </w:rPr>
              <w:t>4</w:t>
            </w:r>
          </w:p>
        </w:tc>
        <w:tc>
          <w:tcPr>
            <w:tcW w:type="dxa" w:w="1987"/>
            <w:vAlign w:val="center"/>
            <w:shd w:fill="F2F7FC"/>
          </w:tcPr>
          <w:p>
            <w:r/>
            <w:r>
              <w:rPr>
                <w:rFonts w:ascii="Aptos" w:hAnsi="Aptos"/>
                <w:b w:val="0"/>
                <w:sz w:val="17"/>
              </w:rPr>
              <w:t>8,000,000</w:t>
            </w:r>
          </w:p>
        </w:tc>
        <w:tc>
          <w:tcPr>
            <w:tcW w:type="dxa" w:w="1987"/>
            <w:vAlign w:val="center"/>
            <w:shd w:fill="F2F7FC"/>
          </w:tcPr>
          <w:p>
            <w:r/>
            <w:r>
              <w:rPr>
                <w:rFonts w:ascii="Aptos" w:hAnsi="Aptos"/>
                <w:b w:val="0"/>
                <w:sz w:val="17"/>
              </w:rPr>
              <w:t>32,000,000</w:t>
            </w:r>
          </w:p>
        </w:tc>
        <w:tc>
          <w:tcPr>
            <w:tcW w:type="dxa" w:w="1987"/>
            <w:vAlign w:val="center"/>
            <w:shd w:fill="F2F7FC"/>
          </w:tcPr>
          <w:p>
            <w:r/>
            <w:r>
              <w:rPr>
                <w:rFonts w:ascii="Aptos" w:hAnsi="Aptos"/>
                <w:b w:val="0"/>
                <w:sz w:val="17"/>
              </w:rPr>
              <w:t>3.2%</w:t>
            </w:r>
          </w:p>
        </w:tc>
      </w:tr>
      <w:tr>
        <w:tc>
          <w:tcPr>
            <w:tcW w:type="dxa" w:w="1987"/>
            <w:vAlign w:val="center"/>
          </w:tcPr>
          <w:p>
            <w:r/>
            <w:r>
              <w:rPr>
                <w:rFonts w:ascii="Aptos" w:hAnsi="Aptos"/>
                <w:b w:val="0"/>
                <w:sz w:val="17"/>
              </w:rPr>
              <w:t>Advisor</w:t>
            </w:r>
          </w:p>
        </w:tc>
        <w:tc>
          <w:tcPr>
            <w:tcW w:type="dxa" w:w="1987"/>
            <w:vAlign w:val="center"/>
          </w:tcPr>
          <w:p>
            <w:r/>
            <w:r>
              <w:rPr>
                <w:rFonts w:ascii="Aptos" w:hAnsi="Aptos"/>
                <w:b w:val="0"/>
                <w:sz w:val="17"/>
              </w:rPr>
              <w:t>6</w:t>
            </w:r>
          </w:p>
        </w:tc>
        <w:tc>
          <w:tcPr>
            <w:tcW w:type="dxa" w:w="1987"/>
            <w:vAlign w:val="center"/>
          </w:tcPr>
          <w:p>
            <w:r/>
            <w:r>
              <w:rPr>
                <w:rFonts w:ascii="Aptos" w:hAnsi="Aptos"/>
                <w:b w:val="0"/>
                <w:sz w:val="17"/>
              </w:rPr>
              <w:t>4,000,000</w:t>
            </w:r>
          </w:p>
        </w:tc>
        <w:tc>
          <w:tcPr>
            <w:tcW w:type="dxa" w:w="1987"/>
            <w:vAlign w:val="center"/>
          </w:tcPr>
          <w:p>
            <w:r/>
            <w:r>
              <w:rPr>
                <w:rFonts w:ascii="Aptos" w:hAnsi="Aptos"/>
                <w:b w:val="0"/>
                <w:sz w:val="17"/>
              </w:rPr>
              <w:t>24,000,000</w:t>
            </w:r>
          </w:p>
        </w:tc>
        <w:tc>
          <w:tcPr>
            <w:tcW w:type="dxa" w:w="1987"/>
            <w:vAlign w:val="center"/>
          </w:tcPr>
          <w:p>
            <w:r/>
            <w:r>
              <w:rPr>
                <w:rFonts w:ascii="Aptos" w:hAnsi="Aptos"/>
                <w:b w:val="0"/>
                <w:sz w:val="17"/>
              </w:rPr>
              <w:t>2.4%</w:t>
            </w:r>
          </w:p>
        </w:tc>
      </w:tr>
      <w:tr>
        <w:tc>
          <w:tcPr>
            <w:tcW w:type="dxa" w:w="1987"/>
            <w:vAlign w:val="center"/>
            <w:shd w:fill="F2F7FC"/>
            <w:shd w:fill="DCEEFF"/>
          </w:tcPr>
          <w:p>
            <w:r/>
            <w:r>
              <w:rPr>
                <w:rFonts w:ascii="Aptos" w:hAnsi="Aptos"/>
                <w:b/>
                <w:sz w:val="17"/>
              </w:rPr>
              <w:t>TOTAL</w:t>
            </w:r>
          </w:p>
        </w:tc>
        <w:tc>
          <w:tcPr>
            <w:tcW w:type="dxa" w:w="1987"/>
            <w:vAlign w:val="center"/>
            <w:shd w:fill="F2F7FC"/>
            <w:shd w:fill="DCEEFF"/>
          </w:tcPr>
          <w:p>
            <w:r/>
            <w:r>
              <w:rPr>
                <w:rFonts w:ascii="Aptos" w:hAnsi="Aptos"/>
                <w:b/>
                <w:sz w:val="17"/>
              </w:rPr>
              <w:t>11</w:t>
            </w:r>
          </w:p>
        </w:tc>
        <w:tc>
          <w:tcPr>
            <w:tcW w:type="dxa" w:w="1987"/>
            <w:vAlign w:val="center"/>
            <w:shd w:fill="F2F7FC"/>
            <w:shd w:fill="DCEEFF"/>
          </w:tcPr>
          <w:p>
            <w:r/>
            <w:r>
              <w:rPr>
                <w:rFonts w:ascii="Aptos" w:hAnsi="Aptos"/>
                <w:b/>
                <w:sz w:val="17"/>
              </w:rPr>
              <w:t>—</w:t>
            </w:r>
          </w:p>
        </w:tc>
        <w:tc>
          <w:tcPr>
            <w:tcW w:type="dxa" w:w="1987"/>
            <w:vAlign w:val="center"/>
            <w:shd w:fill="F2F7FC"/>
            <w:shd w:fill="DCEEFF"/>
          </w:tcPr>
          <w:p>
            <w:r/>
            <w:r>
              <w:rPr>
                <w:rFonts w:ascii="Aptos" w:hAnsi="Aptos"/>
                <w:b/>
                <w:sz w:val="17"/>
              </w:rPr>
              <w:t>75,000,000</w:t>
            </w:r>
          </w:p>
        </w:tc>
        <w:tc>
          <w:tcPr>
            <w:tcW w:type="dxa" w:w="1987"/>
            <w:vAlign w:val="center"/>
            <w:shd w:fill="F2F7FC"/>
            <w:shd w:fill="DCEEFF"/>
          </w:tcPr>
          <w:p>
            <w:r/>
            <w:r>
              <w:rPr>
                <w:rFonts w:ascii="Aptos" w:hAnsi="Aptos"/>
                <w:b/>
                <w:sz w:val="17"/>
              </w:rPr>
              <w:t>7.5%</w:t>
            </w:r>
          </w:p>
        </w:tc>
      </w:tr>
    </w:tbl>
    <w:p>
      <w:pPr>
        <w:jc w:val="left"/>
      </w:pPr>
      <w:r>
        <w:rPr>
          <w:b w:val="0"/>
          <w:i w:val="0"/>
        </w:rPr>
        <w:t>All Lead Founder, Founder, and Advisor allocations are subject to the same on-chain schedule: a 12-month initial lock followed by 24-month vesting in equal 30-day installments. These allocations contribute zero TRYV to automatic TGE circulation.</w:t>
      </w:r>
    </w:p>
    <w:p>
      <w:pPr>
        <w:jc w:val="left"/>
      </w:pPr>
      <w:r>
        <w:rPr>
          <w:b w:val="0"/>
          <w:i w:val="0"/>
        </w:rPr>
        <w:t>The Lead Founder does not receive an early-unlock exemption. Under applicable departure provisions, vested TRYV remains with the participant while applicable unvested TRYV is forfeited back to the Taryven Treasury if a Founder or Advisor leaves during vesting.</w:t>
      </w:r>
    </w:p>
    <w:p>
      <w:pPr>
        <w:jc w:val="left"/>
      </w:pPr>
      <w:r>
        <w:rPr>
          <w:b w:val="0"/>
          <w:i w:val="0"/>
        </w:rPr>
        <w:t>The 75 million TRYV Founder/Advisor allocation is a hard maximum and cannot be increased by reclassifying unused tokens from other pools.</w:t>
      </w:r>
    </w:p>
    <w:p>
      <w:pPr>
        <w:pStyle w:val="Heading1"/>
      </w:pPr>
      <w:r>
        <w:t>8. Merchant &amp; Customer Rewards — 200,000,000 TRYV</w:t>
      </w:r>
    </w:p>
    <w:p>
      <w:pPr>
        <w:jc w:val="left"/>
      </w:pPr>
      <w:r>
        <w:rPr>
          <w:b w:val="0"/>
          <w:i w:val="0"/>
        </w:rPr>
        <w:t>A dedicated 200 million TRYV (20% of maximum supply) is reserved to support qualifying merchant and customer activity within the Taryven ecosystem.</w:t>
      </w:r>
    </w:p>
    <w:p>
      <w:pPr>
        <w:pStyle w:val="ListBullet"/>
      </w:pPr>
      <w:r>
        <w:t>Initial target customer reward: up to approximately 1% of qualifying transaction value.</w:t>
      </w:r>
    </w:p>
    <w:p>
      <w:pPr>
        <w:pStyle w:val="ListBullet"/>
      </w:pPr>
      <w:r>
        <w:t>Initial target merchant reward: up to approximately 0.5% of qualifying transaction value.</w:t>
      </w:r>
    </w:p>
    <w:p>
      <w:pPr>
        <w:pStyle w:val="ListBullet"/>
      </w:pPr>
      <w:r>
        <w:t>These are adjustable program rates, not permanent guarantees.</w:t>
      </w:r>
    </w:p>
    <w:p>
      <w:pPr>
        <w:pStyle w:val="ListBullet"/>
      </w:pPr>
      <w:r>
        <w:t>Reward value is converted into TRYV using an approved reward reference-price methodology; the production methodology must be designed to reduce susceptibility to market manipulation.</w:t>
      </w:r>
    </w:p>
    <w:p>
      <w:pPr>
        <w:pStyle w:val="ListBullet"/>
      </w:pPr>
      <w:r>
        <w:t>Only qualifying transactions through verified Taryven Pay merchants or approved payment flows earn rewards; ordinary wallet-to-wallet transfers do not.</w:t>
      </w:r>
    </w:p>
    <w:p>
      <w:pPr>
        <w:pStyle w:val="ListBullet"/>
      </w:pPr>
      <w:r>
        <w:t>Duplicate, circular, artificial, self-dealing, fraudulent, or otherwise ineligible activity does not qualify.</w:t>
      </w:r>
    </w:p>
    <w:p>
      <w:pPr>
        <w:pStyle w:val="ListBullet"/>
      </w:pPr>
      <w:r>
        <w:t>Taryven may impose transaction, wallet, merchant, daily, monthly, periodic, or program-wide reward limits.</w:t>
      </w:r>
    </w:p>
    <w:p>
      <w:pPr>
        <w:pStyle w:val="ListBullet"/>
      </w:pPr>
      <w:r>
        <w:t>Rewards may follow an Earned → Validated → Released lifecycle.</w:t>
      </w:r>
    </w:p>
    <w:p>
      <w:pPr>
        <w:pStyle w:val="ListBullet"/>
      </w:pPr>
      <w:r>
        <w:t>No additional TRYV is minted merely because the rewards pool is exhausted.</w:t>
      </w:r>
    </w:p>
    <w:p>
      <w:pPr>
        <w:pStyle w:val="ListBullet"/>
      </w:pPr>
      <w:r>
        <w:t>Unused reward TRYV does not automatically enter circulation and cannot increase the Founder/Advisor pool.</w:t>
      </w:r>
    </w:p>
    <w:p>
      <w:pPr>
        <w:pStyle w:val="Heading1"/>
      </w:pPr>
      <w:r>
        <w:t>9. Merchant Referral Program — 20,000,000 TRYV</w:t>
      </w:r>
    </w:p>
    <w:p>
      <w:pPr>
        <w:jc w:val="left"/>
      </w:pPr>
      <w:r>
        <w:rPr>
          <w:b/>
          <w:i w:val="0"/>
        </w:rPr>
        <w:t>PLANNED STANDARD REWARD: 1,000 TRYV PER QUALIFYING VERIFIED MERCHANT</w:t>
      </w:r>
    </w:p>
    <w:p>
      <w:pPr>
        <w:jc w:val="left"/>
      </w:pPr>
      <w:r>
        <w:rPr>
          <w:b w:val="0"/>
          <w:i w:val="0"/>
        </w:rPr>
        <w:t>At the planned standard rate, the dedicated 20 million TRYV pool can support up to 20,000 qualifying merchant rewards. There is no predetermined per-referrer limit on the number of legitimate qualifying merchants a participant may refer, subject to the finite program pool and program rules.</w:t>
      </w:r>
    </w:p>
    <w:p>
      <w:pPr>
        <w:jc w:val="left"/>
      </w:pPr>
      <w:r>
        <w:rPr>
          <w:b w:val="0"/>
          <w:i w:val="0"/>
        </w:rPr>
        <w:t>Self-referrals are permitted. A merchant owner or operator may refer and register their own legitimate business and may qualify for the standard reward after successful verification.</w:t>
      </w:r>
    </w:p>
    <w:p>
      <w:pPr>
        <w:pStyle w:val="Heading2"/>
      </w:pPr>
      <w:r>
        <w:t>9.1 Qualified Merchant Requirements</w:t>
      </w:r>
    </w:p>
    <w:p>
      <w:pPr>
        <w:pStyle w:val="ListBullet"/>
      </w:pPr>
      <w:r>
        <w:t>Company or legal business name.</w:t>
      </w:r>
    </w:p>
    <w:p>
      <w:pPr>
        <w:pStyle w:val="ListBullet"/>
      </w:pPr>
      <w:r>
        <w:t>Public-facing business name where applicable.</w:t>
      </w:r>
    </w:p>
    <w:p>
      <w:pPr>
        <w:pStyle w:val="ListBullet"/>
      </w:pPr>
      <w:r>
        <w:t>Business telephone number.</w:t>
      </w:r>
    </w:p>
    <w:p>
      <w:pPr>
        <w:pStyle w:val="ListBullet"/>
      </w:pPr>
      <w:r>
        <w:t>Business address, city, state, and ZIP code.</w:t>
      </w:r>
    </w:p>
    <w:p>
      <w:pPr>
        <w:pStyle w:val="ListBullet"/>
      </w:pPr>
      <w:r>
        <w:t>Industry or business type.</w:t>
      </w:r>
    </w:p>
    <w:p>
      <w:pPr>
        <w:pStyle w:val="ListBullet"/>
      </w:pPr>
      <w:r>
        <w:t>Applicable sales-tax registration or business-license number.</w:t>
      </w:r>
    </w:p>
    <w:p>
      <w:pPr>
        <w:pStyle w:val="ListBullet"/>
      </w:pPr>
      <w:r>
        <w:t>Qualifying merchant wallet connected during onboarding.</w:t>
      </w:r>
    </w:p>
    <w:p>
      <w:pPr>
        <w:pStyle w:val="ListBullet"/>
      </w:pPr>
      <w:r>
        <w:t>Acceptance of applicable merchant terms.</w:t>
      </w:r>
    </w:p>
    <w:p>
      <w:pPr>
        <w:pStyle w:val="ListBullet"/>
      </w:pPr>
      <w:r>
        <w:t>Any additional information reasonably required for verification.</w:t>
      </w:r>
    </w:p>
    <w:p>
      <w:pPr>
        <w:jc w:val="left"/>
      </w:pPr>
      <w:r>
        <w:rPr>
          <w:b w:val="0"/>
          <w:i w:val="0"/>
        </w:rPr>
        <w:t>Submitting an application alone does not earn a referral reward. The merchant must become verified. The qualifying entity is the business, not merely a wallet or application. Wallet changes, duplicate applications, or minor variations in business information do not create additional qualifying merchant rewards.</w:t>
      </w:r>
    </w:p>
    <w:p>
      <w:pPr>
        <w:jc w:val="left"/>
      </w:pPr>
      <w:r>
        <w:rPr>
          <w:b w:val="0"/>
          <w:i w:val="0"/>
        </w:rPr>
        <w:t>Referral rewards earned during the presale are intended to become distributable following completion of the presale under applicable program rules.</w:t>
      </w:r>
    </w:p>
    <w:p>
      <w:pPr>
        <w:pStyle w:val="Heading1"/>
      </w:pPr>
      <w:r>
        <w:t>10. Project-Controlled Reserves — 305,000,000 TRYV</w:t>
      </w:r>
    </w:p>
    <w:tbl>
      <w:tblPr>
        <w:tblStyle w:val="TableGrid"/>
        <w:tblW w:type="auto" w:w="0"/>
        <w:jc w:val="center"/>
        <w:tblLook w:firstColumn="1" w:firstRow="1" w:lastColumn="0" w:lastRow="0" w:noHBand="0" w:noVBand="1" w:val="04A0"/>
      </w:tblPr>
      <w:tblGrid>
        <w:gridCol w:w="2484"/>
        <w:gridCol w:w="2484"/>
        <w:gridCol w:w="2484"/>
        <w:gridCol w:w="2484"/>
      </w:tblGrid>
      <w:tr>
        <w:tc>
          <w:tcPr>
            <w:tcW w:type="dxa" w:w="2484"/>
            <w:vAlign w:val="center"/>
            <w:shd w:fill="081324"/>
          </w:tcPr>
          <w:p>
            <w:r/>
            <w:r>
              <w:rPr>
                <w:rFonts w:ascii="Aptos" w:hAnsi="Aptos"/>
                <w:b/>
                <w:color w:val="FFFFFF"/>
                <w:sz w:val="17"/>
              </w:rPr>
              <w:t>Pool</w:t>
            </w:r>
          </w:p>
        </w:tc>
        <w:tc>
          <w:tcPr>
            <w:tcW w:type="dxa" w:w="2484"/>
            <w:vAlign w:val="center"/>
            <w:shd w:fill="081324"/>
          </w:tcPr>
          <w:p>
            <w:r/>
            <w:r>
              <w:rPr>
                <w:rFonts w:ascii="Aptos" w:hAnsi="Aptos"/>
                <w:b/>
                <w:color w:val="FFFFFF"/>
                <w:sz w:val="17"/>
              </w:rPr>
              <w:t>TRYV</w:t>
            </w:r>
          </w:p>
        </w:tc>
        <w:tc>
          <w:tcPr>
            <w:tcW w:type="dxa" w:w="2484"/>
            <w:vAlign w:val="center"/>
            <w:shd w:fill="081324"/>
          </w:tcPr>
          <w:p>
            <w:r/>
            <w:r>
              <w:rPr>
                <w:rFonts w:ascii="Aptos" w:hAnsi="Aptos"/>
                <w:b/>
                <w:color w:val="FFFFFF"/>
                <w:sz w:val="17"/>
              </w:rPr>
              <w:t>% Supply</w:t>
            </w:r>
          </w:p>
        </w:tc>
        <w:tc>
          <w:tcPr>
            <w:tcW w:type="dxa" w:w="2484"/>
            <w:vAlign w:val="center"/>
            <w:shd w:fill="081324"/>
          </w:tcPr>
          <w:p>
            <w:r/>
            <w:r>
              <w:rPr>
                <w:rFonts w:ascii="Aptos" w:hAnsi="Aptos"/>
                <w:b/>
                <w:color w:val="FFFFFF"/>
                <w:sz w:val="17"/>
              </w:rPr>
              <w:t>Automatic TGE Release</w:t>
            </w:r>
          </w:p>
        </w:tc>
      </w:tr>
      <w:tr>
        <w:tc>
          <w:tcPr>
            <w:tcW w:type="dxa" w:w="2484"/>
            <w:vAlign w:val="center"/>
          </w:tcPr>
          <w:p>
            <w:r/>
            <w:r>
              <w:rPr>
                <w:rFonts w:ascii="Aptos" w:hAnsi="Aptos"/>
                <w:b w:val="0"/>
                <w:sz w:val="17"/>
              </w:rPr>
              <w:t>Treasury Reserve</w:t>
            </w:r>
          </w:p>
        </w:tc>
        <w:tc>
          <w:tcPr>
            <w:tcW w:type="dxa" w:w="2484"/>
            <w:vAlign w:val="center"/>
          </w:tcPr>
          <w:p>
            <w:r/>
            <w:r>
              <w:rPr>
                <w:rFonts w:ascii="Aptos" w:hAnsi="Aptos"/>
                <w:b w:val="0"/>
                <w:sz w:val="17"/>
              </w:rPr>
              <w:t>125,000,000</w:t>
            </w:r>
          </w:p>
        </w:tc>
        <w:tc>
          <w:tcPr>
            <w:tcW w:type="dxa" w:w="2484"/>
            <w:vAlign w:val="center"/>
          </w:tcPr>
          <w:p>
            <w:r/>
            <w:r>
              <w:rPr>
                <w:rFonts w:ascii="Aptos" w:hAnsi="Aptos"/>
                <w:b w:val="0"/>
                <w:sz w:val="17"/>
              </w:rPr>
              <w:t>12.5%</w:t>
            </w:r>
          </w:p>
        </w:tc>
        <w:tc>
          <w:tcPr>
            <w:tcW w:type="dxa" w:w="2484"/>
            <w:vAlign w:val="center"/>
          </w:tcPr>
          <w:p>
            <w:r/>
            <w:r>
              <w:rPr>
                <w:rFonts w:ascii="Aptos" w:hAnsi="Aptos"/>
                <w:b w:val="0"/>
                <w:sz w:val="17"/>
              </w:rPr>
              <w:t>0%</w:t>
            </w:r>
          </w:p>
        </w:tc>
      </w:tr>
      <w:tr>
        <w:tc>
          <w:tcPr>
            <w:tcW w:type="dxa" w:w="2484"/>
            <w:vAlign w:val="center"/>
            <w:shd w:fill="F2F7FC"/>
          </w:tcPr>
          <w:p>
            <w:r/>
            <w:r>
              <w:rPr>
                <w:rFonts w:ascii="Aptos" w:hAnsi="Aptos"/>
                <w:b w:val="0"/>
                <w:sz w:val="17"/>
              </w:rPr>
              <w:t>Ecosystem Growth &amp; Partnerships</w:t>
            </w:r>
          </w:p>
        </w:tc>
        <w:tc>
          <w:tcPr>
            <w:tcW w:type="dxa" w:w="2484"/>
            <w:vAlign w:val="center"/>
            <w:shd w:fill="F2F7FC"/>
          </w:tcPr>
          <w:p>
            <w:r/>
            <w:r>
              <w:rPr>
                <w:rFonts w:ascii="Aptos" w:hAnsi="Aptos"/>
                <w:b w:val="0"/>
                <w:sz w:val="17"/>
              </w:rPr>
              <w:t>100,000,000</w:t>
            </w:r>
          </w:p>
        </w:tc>
        <w:tc>
          <w:tcPr>
            <w:tcW w:type="dxa" w:w="2484"/>
            <w:vAlign w:val="center"/>
            <w:shd w:fill="F2F7FC"/>
          </w:tcPr>
          <w:p>
            <w:r/>
            <w:r>
              <w:rPr>
                <w:rFonts w:ascii="Aptos" w:hAnsi="Aptos"/>
                <w:b w:val="0"/>
                <w:sz w:val="17"/>
              </w:rPr>
              <w:t>10.0%</w:t>
            </w:r>
          </w:p>
        </w:tc>
        <w:tc>
          <w:tcPr>
            <w:tcW w:type="dxa" w:w="2484"/>
            <w:vAlign w:val="center"/>
            <w:shd w:fill="F2F7FC"/>
          </w:tcPr>
          <w:p>
            <w:r/>
            <w:r>
              <w:rPr>
                <w:rFonts w:ascii="Aptos" w:hAnsi="Aptos"/>
                <w:b w:val="0"/>
                <w:sz w:val="17"/>
              </w:rPr>
              <w:t>0%</w:t>
            </w:r>
          </w:p>
        </w:tc>
      </w:tr>
      <w:tr>
        <w:tc>
          <w:tcPr>
            <w:tcW w:type="dxa" w:w="2484"/>
            <w:vAlign w:val="center"/>
          </w:tcPr>
          <w:p>
            <w:r/>
            <w:r>
              <w:rPr>
                <w:rFonts w:ascii="Aptos" w:hAnsi="Aptos"/>
                <w:b w:val="0"/>
                <w:sz w:val="17"/>
              </w:rPr>
              <w:t>Development &amp; Operations</w:t>
            </w:r>
          </w:p>
        </w:tc>
        <w:tc>
          <w:tcPr>
            <w:tcW w:type="dxa" w:w="2484"/>
            <w:vAlign w:val="center"/>
          </w:tcPr>
          <w:p>
            <w:r/>
            <w:r>
              <w:rPr>
                <w:rFonts w:ascii="Aptos" w:hAnsi="Aptos"/>
                <w:b w:val="0"/>
                <w:sz w:val="17"/>
              </w:rPr>
              <w:t>50,000,000</w:t>
            </w:r>
          </w:p>
        </w:tc>
        <w:tc>
          <w:tcPr>
            <w:tcW w:type="dxa" w:w="2484"/>
            <w:vAlign w:val="center"/>
          </w:tcPr>
          <w:p>
            <w:r/>
            <w:r>
              <w:rPr>
                <w:rFonts w:ascii="Aptos" w:hAnsi="Aptos"/>
                <w:b w:val="0"/>
                <w:sz w:val="17"/>
              </w:rPr>
              <w:t>5.0%</w:t>
            </w:r>
          </w:p>
        </w:tc>
        <w:tc>
          <w:tcPr>
            <w:tcW w:type="dxa" w:w="2484"/>
            <w:vAlign w:val="center"/>
          </w:tcPr>
          <w:p>
            <w:r/>
            <w:r>
              <w:rPr>
                <w:rFonts w:ascii="Aptos" w:hAnsi="Aptos"/>
                <w:b w:val="0"/>
                <w:sz w:val="17"/>
              </w:rPr>
              <w:t>0%</w:t>
            </w:r>
          </w:p>
        </w:tc>
      </w:tr>
      <w:tr>
        <w:tc>
          <w:tcPr>
            <w:tcW w:type="dxa" w:w="2484"/>
            <w:vAlign w:val="center"/>
            <w:shd w:fill="F2F7FC"/>
          </w:tcPr>
          <w:p>
            <w:r/>
            <w:r>
              <w:rPr>
                <w:rFonts w:ascii="Aptos" w:hAnsi="Aptos"/>
                <w:b w:val="0"/>
                <w:sz w:val="17"/>
              </w:rPr>
              <w:t>Community &amp; Promotional Programs</w:t>
            </w:r>
          </w:p>
        </w:tc>
        <w:tc>
          <w:tcPr>
            <w:tcW w:type="dxa" w:w="2484"/>
            <w:vAlign w:val="center"/>
            <w:shd w:fill="F2F7FC"/>
          </w:tcPr>
          <w:p>
            <w:r/>
            <w:r>
              <w:rPr>
                <w:rFonts w:ascii="Aptos" w:hAnsi="Aptos"/>
                <w:b w:val="0"/>
                <w:sz w:val="17"/>
              </w:rPr>
              <w:t>30,000,000</w:t>
            </w:r>
          </w:p>
        </w:tc>
        <w:tc>
          <w:tcPr>
            <w:tcW w:type="dxa" w:w="2484"/>
            <w:vAlign w:val="center"/>
            <w:shd w:fill="F2F7FC"/>
          </w:tcPr>
          <w:p>
            <w:r/>
            <w:r>
              <w:rPr>
                <w:rFonts w:ascii="Aptos" w:hAnsi="Aptos"/>
                <w:b w:val="0"/>
                <w:sz w:val="17"/>
              </w:rPr>
              <w:t>3.0%</w:t>
            </w:r>
          </w:p>
        </w:tc>
        <w:tc>
          <w:tcPr>
            <w:tcW w:type="dxa" w:w="2484"/>
            <w:vAlign w:val="center"/>
            <w:shd w:fill="F2F7FC"/>
          </w:tcPr>
          <w:p>
            <w:r/>
            <w:r>
              <w:rPr>
                <w:rFonts w:ascii="Aptos" w:hAnsi="Aptos"/>
                <w:b w:val="0"/>
                <w:sz w:val="17"/>
              </w:rPr>
              <w:t>0%</w:t>
            </w:r>
          </w:p>
        </w:tc>
      </w:tr>
      <w:tr>
        <w:tc>
          <w:tcPr>
            <w:tcW w:type="dxa" w:w="2484"/>
            <w:vAlign w:val="center"/>
            <w:shd w:fill="DCEEFF"/>
          </w:tcPr>
          <w:p>
            <w:r/>
            <w:r>
              <w:rPr>
                <w:rFonts w:ascii="Aptos" w:hAnsi="Aptos"/>
                <w:b/>
                <w:sz w:val="17"/>
              </w:rPr>
              <w:t>TOTAL</w:t>
            </w:r>
          </w:p>
        </w:tc>
        <w:tc>
          <w:tcPr>
            <w:tcW w:type="dxa" w:w="2484"/>
            <w:vAlign w:val="center"/>
            <w:shd w:fill="DCEEFF"/>
          </w:tcPr>
          <w:p>
            <w:r/>
            <w:r>
              <w:rPr>
                <w:rFonts w:ascii="Aptos" w:hAnsi="Aptos"/>
                <w:b/>
                <w:sz w:val="17"/>
              </w:rPr>
              <w:t>305,000,000</w:t>
            </w:r>
          </w:p>
        </w:tc>
        <w:tc>
          <w:tcPr>
            <w:tcW w:type="dxa" w:w="2484"/>
            <w:vAlign w:val="center"/>
            <w:shd w:fill="DCEEFF"/>
          </w:tcPr>
          <w:p>
            <w:r/>
            <w:r>
              <w:rPr>
                <w:rFonts w:ascii="Aptos" w:hAnsi="Aptos"/>
                <w:b/>
                <w:sz w:val="17"/>
              </w:rPr>
              <w:t>30.5%</w:t>
            </w:r>
          </w:p>
        </w:tc>
        <w:tc>
          <w:tcPr>
            <w:tcW w:type="dxa" w:w="2484"/>
            <w:vAlign w:val="center"/>
            <w:shd w:fill="DCEEFF"/>
          </w:tcPr>
          <w:p>
            <w:r/>
            <w:r>
              <w:rPr>
                <w:rFonts w:ascii="Aptos" w:hAnsi="Aptos"/>
                <w:b/>
                <w:sz w:val="17"/>
              </w:rPr>
              <w:t>0%</w:t>
            </w:r>
          </w:p>
        </w:tc>
      </w:tr>
    </w:tbl>
    <w:p>
      <w:pPr>
        <w:jc w:val="left"/>
      </w:pPr>
      <w:r>
        <w:rPr>
          <w:b w:val="0"/>
          <w:i w:val="0"/>
        </w:rPr>
        <w:t>These project-controlled pools have zero automatic TGE circulation. Tokens remain reserved until needed for an authorized and disclosed project purpose. Unused allocations do not automatically enter circulation.</w:t>
      </w:r>
    </w:p>
    <w:p>
      <w:pPr>
        <w:pStyle w:val="Heading2"/>
      </w:pPr>
      <w:r>
        <w:t>10.1 Treasury Reserve</w:t>
      </w:r>
    </w:p>
    <w:p>
      <w:pPr>
        <w:jc w:val="left"/>
      </w:pPr>
      <w:r>
        <w:rPr>
          <w:b w:val="0"/>
          <w:i w:val="0"/>
        </w:rPr>
        <w:t>The 125 million TRYV Treasury Reserve may support security and independent audits, infrastructure, ecosystem requirements, strategic opportunities, liquidity support, compliance and regulatory requirements, emergency needs, network expansion, and other authorized project purposes. Treasury Reserve TRYV is not Founder or Advisor compensation. Movements are intended to require Taryven treasury or multisignature authorization.</w:t>
      </w:r>
    </w:p>
    <w:p>
      <w:pPr>
        <w:pStyle w:val="Heading2"/>
      </w:pPr>
      <w:r>
        <w:t>10.2 Ecosystem Growth &amp; Partnerships</w:t>
      </w:r>
    </w:p>
    <w:p>
      <w:pPr>
        <w:jc w:val="left"/>
      </w:pPr>
      <w:r>
        <w:rPr>
          <w:b w:val="0"/>
          <w:i w:val="0"/>
        </w:rPr>
        <w:t>The 100 million TRYV Ecosystem Growth &amp; Partnerships allocation may support merchant adoption, strategic integrations, technology partnerships, payment infrastructure, geographic expansion, and ecosystem incentives. Partnership distributions may use recipient-specific locks, vesting schedules, or performance conditions.</w:t>
      </w:r>
    </w:p>
    <w:p>
      <w:pPr>
        <w:pStyle w:val="Heading2"/>
      </w:pPr>
      <w:r>
        <w:t>10.3 Development &amp; Operations</w:t>
      </w:r>
    </w:p>
    <w:p>
      <w:pPr>
        <w:jc w:val="left"/>
      </w:pPr>
      <w:r>
        <w:rPr>
          <w:b w:val="0"/>
          <w:i w:val="0"/>
        </w:rPr>
        <w:t>The 50 million TRYV Development &amp; Operations allocation may support software development, infrastructure, cybersecurity, audits, contractors, technology services, and other authorized project operations. Tokens enter circulation only through actual authorized use.</w:t>
      </w:r>
    </w:p>
    <w:p>
      <w:pPr>
        <w:pStyle w:val="Heading2"/>
      </w:pPr>
      <w:r>
        <w:t>10.4 Community &amp; Promotional Programs</w:t>
      </w:r>
    </w:p>
    <w:p>
      <w:pPr>
        <w:jc w:val="left"/>
      </w:pPr>
      <w:r>
        <w:rPr>
          <w:b w:val="0"/>
          <w:i w:val="0"/>
        </w:rPr>
        <w:t>The 30 million TRYV Community &amp; Promotional Programs allocation is a maximum program reserve for approved community, educational, and promotional activities. It is not a guarantee that the full allocation will be distributed.</w:t>
      </w:r>
    </w:p>
    <w:p>
      <w:pPr>
        <w:pStyle w:val="Heading1"/>
      </w:pPr>
      <w:r>
        <w:t>11. DEX &amp; Market Liquidity Strategy</w:t>
      </w:r>
    </w:p>
    <w:p>
      <w:pPr>
        <w:jc w:val="left"/>
      </w:pPr>
      <w:r>
        <w:rPr>
          <w:b w:val="0"/>
          <w:i w:val="0"/>
        </w:rPr>
        <w:t>Taryven currently anticipates targeting an initial DEX liquidity reference around $0.065 per TRYV following completion of the presale. This is a planning reference, not a guaranteed launch price, minimum price, or future market value.</w:t>
      </w:r>
    </w:p>
    <w:p>
      <w:pPr>
        <w:jc w:val="left"/>
      </w:pPr>
      <w:r>
        <w:rPr>
          <w:b w:val="0"/>
          <w:i w:val="0"/>
        </w:rPr>
        <w:t>Once public trading begins, TRYV's market price will be determined by market activity.</w:t>
      </w:r>
    </w:p>
    <w:p>
      <w:pPr>
        <w:jc w:val="left"/>
      </w:pPr>
      <w:r>
        <w:rPr>
          <w:b w:val="0"/>
          <w:i w:val="0"/>
        </w:rPr>
        <w:t>Taryven may designate up to approximately 30% of actual presale proceeds for initial and early-stage market liquidity. At a fully subscribed $10 million presale, this would represent up to approximately $3 million. At a hypothetical $0.065 liquidity reference, $3 million on the stablecoin side would correspond to approximately 46.15 million TRYV. Actual liquidity amounts may differ and liquidity may be deployed progressively rather than entirely on launch day.</w:t>
      </w:r>
    </w:p>
    <w:p>
      <w:pPr>
        <w:pStyle w:val="Heading1"/>
      </w:pPr>
      <w:r>
        <w:t>12. Liquidity Protection &amp; Governance</w:t>
      </w:r>
    </w:p>
    <w:p>
      <w:pPr>
        <w:pStyle w:val="ListBullet"/>
      </w:pPr>
      <w:r>
        <w:t>Taryven-controlled liquidity is intended to be governed through the Taryven Safe or equivalent multisignature treasury architecture.</w:t>
      </w:r>
    </w:p>
    <w:p>
      <w:pPr>
        <w:pStyle w:val="ListBullet"/>
      </w:pPr>
      <w:r>
        <w:t>No individual Founder is intended to have unilateral authority to withdraw Taryven-controlled liquidity.</w:t>
      </w:r>
    </w:p>
    <w:p>
      <w:pPr>
        <w:pStyle w:val="ListBullet"/>
      </w:pPr>
      <w:r>
        <w:t>Taryven targets a minimum 12-month initial liquidity restriction or commitment, subject to the final production DEX and liquidity architecture.</w:t>
      </w:r>
    </w:p>
    <w:p>
      <w:pPr>
        <w:pStyle w:val="ListBullet"/>
      </w:pPr>
      <w:r>
        <w:t>Expiration of an initial restriction does not automatically mean liquidity will be withdrawn.</w:t>
      </w:r>
    </w:p>
    <w:p>
      <w:pPr>
        <w:pStyle w:val="ListBullet"/>
      </w:pPr>
      <w:r>
        <w:t>Legitimate migration, security response, rebalancing, or other necessary liquidity changes may be performed through authorized multisignature action.</w:t>
      </w:r>
    </w:p>
    <w:p>
      <w:pPr>
        <w:pStyle w:val="ListBullet"/>
      </w:pPr>
      <w:r>
        <w:t>Taryven intends for relevant liquidity-pool and position information to be publicly identifiable on-chain.</w:t>
      </w:r>
    </w:p>
    <w:p>
      <w:pPr>
        <w:pStyle w:val="ListBullet"/>
      </w:pPr>
      <w:r>
        <w:t>Fees generated by Taryven-controlled liquidity belong to the Taryven Treasury or ecosystem, not individual Founders.</w:t>
      </w:r>
    </w:p>
    <w:p>
      <w:pPr>
        <w:pStyle w:val="ListBullet"/>
      </w:pPr>
      <w:r>
        <w:t>No TRYV market price, liquidity level, or investment return is guaranteed.</w:t>
      </w:r>
    </w:p>
    <w:p>
      <w:pPr>
        <w:pStyle w:val="Heading1"/>
      </w:pPr>
      <w:r>
        <w:t>13. Unused Tokens, Circulation &amp; Burns</w:t>
      </w:r>
    </w:p>
    <w:p>
      <w:pPr>
        <w:jc w:val="left"/>
      </w:pPr>
      <w:r>
        <w:rPr>
          <w:b w:val="0"/>
          <w:i w:val="0"/>
        </w:rPr>
        <w:t>TRYV assigned to a program but not distributed does not automatically become circulating supply. This applies to unused portions of Presale &amp; Market Launch, Merchant &amp; Customer Rewards, Merchant Referral, Treasury Reserve, Ecosystem Growth, Development &amp; Operations, and Community/Promotional Programs.</w:t>
      </w:r>
    </w:p>
    <w:p>
      <w:pPr>
        <w:jc w:val="left"/>
      </w:pPr>
      <w:r>
        <w:rPr>
          <w:b w:val="0"/>
          <w:i w:val="0"/>
        </w:rPr>
        <w:t>Unused allocations cannot be used to increase the Founder/Advisor pool above 75 million TRYV.</w:t>
      </w:r>
    </w:p>
    <w:p>
      <w:pPr>
        <w:jc w:val="left"/>
      </w:pPr>
      <w:r>
        <w:rPr>
          <w:b w:val="0"/>
          <w:i w:val="0"/>
        </w:rPr>
        <w:t>Taryven may permanently burn legitimately unused TRYV through authorized Treasury or governance action. No burn schedule, amount, frequency, buyback program, or resulting supply reduction is guaranteed.</w:t>
      </w:r>
    </w:p>
    <w:p>
      <w:pPr>
        <w:pStyle w:val="Heading1"/>
      </w:pPr>
      <w:r>
        <w:t>14. Understanding TRYV Supply</w:t>
      </w:r>
    </w:p>
    <w:tbl>
      <w:tblPr>
        <w:tblStyle w:val="TableGrid"/>
        <w:tblW w:type="auto" w:w="0"/>
        <w:jc w:val="center"/>
        <w:tblLook w:firstColumn="1" w:firstRow="1" w:lastColumn="0" w:lastRow="0" w:noHBand="0" w:noVBand="1" w:val="04A0"/>
      </w:tblPr>
      <w:tblGrid>
        <w:gridCol w:w="4968"/>
        <w:gridCol w:w="4968"/>
      </w:tblGrid>
      <w:tr>
        <w:tc>
          <w:tcPr>
            <w:tcW w:type="dxa" w:w="4968"/>
            <w:vAlign w:val="center"/>
            <w:shd w:fill="081324"/>
          </w:tcPr>
          <w:p>
            <w:r/>
            <w:r>
              <w:rPr>
                <w:rFonts w:ascii="Aptos" w:hAnsi="Aptos"/>
                <w:b/>
                <w:color w:val="FFFFFF"/>
                <w:sz w:val="17"/>
              </w:rPr>
              <w:t>Concept</w:t>
            </w:r>
          </w:p>
        </w:tc>
        <w:tc>
          <w:tcPr>
            <w:tcW w:type="dxa" w:w="4968"/>
            <w:vAlign w:val="center"/>
            <w:shd w:fill="081324"/>
          </w:tcPr>
          <w:p>
            <w:r/>
            <w:r>
              <w:rPr>
                <w:rFonts w:ascii="Aptos" w:hAnsi="Aptos"/>
                <w:b/>
                <w:color w:val="FFFFFF"/>
                <w:sz w:val="17"/>
              </w:rPr>
              <w:t>Meaning</w:t>
            </w:r>
          </w:p>
        </w:tc>
      </w:tr>
      <w:tr>
        <w:tc>
          <w:tcPr>
            <w:tcW w:type="dxa" w:w="4968"/>
            <w:vAlign w:val="center"/>
          </w:tcPr>
          <w:p>
            <w:r/>
            <w:r>
              <w:rPr>
                <w:rFonts w:ascii="Aptos" w:hAnsi="Aptos"/>
                <w:b w:val="0"/>
                <w:sz w:val="17"/>
              </w:rPr>
              <w:t>Maximum Supply</w:t>
            </w:r>
          </w:p>
        </w:tc>
        <w:tc>
          <w:tcPr>
            <w:tcW w:type="dxa" w:w="4968"/>
            <w:vAlign w:val="center"/>
          </w:tcPr>
          <w:p>
            <w:r/>
            <w:r>
              <w:rPr>
                <w:rFonts w:ascii="Aptos" w:hAnsi="Aptos"/>
                <w:b w:val="0"/>
                <w:sz w:val="17"/>
              </w:rPr>
              <w:t>The absolute maximum number of TRYV that may exist: 1,000,000,000 TRYV.</w:t>
            </w:r>
          </w:p>
        </w:tc>
      </w:tr>
      <w:tr>
        <w:tc>
          <w:tcPr>
            <w:tcW w:type="dxa" w:w="4968"/>
            <w:vAlign w:val="center"/>
            <w:shd w:fill="F2F7FC"/>
          </w:tcPr>
          <w:p>
            <w:r/>
            <w:r>
              <w:rPr>
                <w:rFonts w:ascii="Aptos" w:hAnsi="Aptos"/>
                <w:b w:val="0"/>
                <w:sz w:val="17"/>
              </w:rPr>
              <w:t>Allocated Supply</w:t>
            </w:r>
          </w:p>
        </w:tc>
        <w:tc>
          <w:tcPr>
            <w:tcW w:type="dxa" w:w="4968"/>
            <w:vAlign w:val="center"/>
            <w:shd w:fill="F2F7FC"/>
          </w:tcPr>
          <w:p>
            <w:r/>
            <w:r>
              <w:rPr>
                <w:rFonts w:ascii="Aptos" w:hAnsi="Aptos"/>
                <w:b w:val="0"/>
                <w:sz w:val="17"/>
              </w:rPr>
              <w:t>TRYV assigned to defined tokenomics categories.</w:t>
            </w:r>
          </w:p>
        </w:tc>
      </w:tr>
      <w:tr>
        <w:tc>
          <w:tcPr>
            <w:tcW w:type="dxa" w:w="4968"/>
            <w:vAlign w:val="center"/>
          </w:tcPr>
          <w:p>
            <w:r/>
            <w:r>
              <w:rPr>
                <w:rFonts w:ascii="Aptos" w:hAnsi="Aptos"/>
                <w:b w:val="0"/>
                <w:sz w:val="17"/>
              </w:rPr>
              <w:t>Vested / Released Supply</w:t>
            </w:r>
          </w:p>
        </w:tc>
        <w:tc>
          <w:tcPr>
            <w:tcW w:type="dxa" w:w="4968"/>
            <w:vAlign w:val="center"/>
          </w:tcPr>
          <w:p>
            <w:r/>
            <w:r>
              <w:rPr>
                <w:rFonts w:ascii="Aptos" w:hAnsi="Aptos"/>
                <w:b w:val="0"/>
                <w:sz w:val="17"/>
              </w:rPr>
              <w:t>TRYV that has satisfied applicable release conditions.</w:t>
            </w:r>
          </w:p>
        </w:tc>
      </w:tr>
      <w:tr>
        <w:tc>
          <w:tcPr>
            <w:tcW w:type="dxa" w:w="4968"/>
            <w:vAlign w:val="center"/>
            <w:shd w:fill="F2F7FC"/>
          </w:tcPr>
          <w:p>
            <w:r/>
            <w:r>
              <w:rPr>
                <w:rFonts w:ascii="Aptos" w:hAnsi="Aptos"/>
                <w:b w:val="0"/>
                <w:sz w:val="17"/>
              </w:rPr>
              <w:t>Circulating Supply</w:t>
            </w:r>
          </w:p>
        </w:tc>
        <w:tc>
          <w:tcPr>
            <w:tcW w:type="dxa" w:w="4968"/>
            <w:vAlign w:val="center"/>
            <w:shd w:fill="F2F7FC"/>
          </w:tcPr>
          <w:p>
            <w:r/>
            <w:r>
              <w:rPr>
                <w:rFonts w:ascii="Aptos" w:hAnsi="Aptos"/>
                <w:b w:val="0"/>
                <w:sz w:val="17"/>
              </w:rPr>
              <w:t>TRYV actually available within the market or ecosystem according to applicable distribution conditions.</w:t>
            </w:r>
          </w:p>
        </w:tc>
      </w:tr>
    </w:tbl>
    <w:p>
      <w:pPr>
        <w:jc w:val="left"/>
      </w:pPr>
      <w:r>
        <w:rPr>
          <w:b w:val="0"/>
          <w:i w:val="0"/>
        </w:rPr>
        <w:t>An allocation does not automatically mean the corresponding TRYV is circulating.</w:t>
      </w:r>
    </w:p>
    <w:p>
      <w:pPr>
        <w:pStyle w:val="Heading1"/>
      </w:pPr>
      <w:r>
        <w:t>15. Security &amp; Transparency</w:t>
      </w:r>
    </w:p>
    <w:p>
      <w:pPr>
        <w:jc w:val="left"/>
      </w:pPr>
      <w:r>
        <w:rPr>
          <w:b w:val="0"/>
          <w:i w:val="0"/>
        </w:rPr>
        <w:t>Taryven is developing smart-contract, treasury, distribution, and operational controls intended to reduce single-party authority and improve transparency.</w:t>
      </w:r>
    </w:p>
    <w:p>
      <w:pPr>
        <w:jc w:val="left"/>
      </w:pPr>
      <w:r>
        <w:rPr>
          <w:b w:val="0"/>
          <w:i w:val="0"/>
        </w:rPr>
        <w:t>The presale-critical system has undergone an internal Phase 1 security review including functional, adversarial, boundary, randomized and invariant testing, static analysis, manual Solidity review, snapshot corruption testing, and end-to-end integration testing.</w:t>
      </w:r>
    </w:p>
    <w:p>
      <w:pPr>
        <w:jc w:val="left"/>
      </w:pPr>
      <w:r>
        <w:rPr>
          <w:b w:val="0"/>
          <w:i w:val="0"/>
        </w:rPr>
        <w:t>At the current internal review checkpoint, the complete blockchain test suite reports 112 passing and 0 failing.</w:t>
      </w:r>
    </w:p>
    <w:p>
      <w:pPr>
        <w:jc w:val="left"/>
      </w:pPr>
      <w:r>
        <w:rPr>
          <w:b w:val="0"/>
          <w:i w:val="0"/>
        </w:rPr>
        <w:t>This is an internal engineering review, not an independent third-party security audit. Taryven intends to obtain independent security review of production-critical smart contracts according to the project's security release process. Security testing cannot guarantee that software is free from all vulnerabilities.</w:t>
      </w:r>
    </w:p>
    <w:p>
      <w:pPr>
        <w:pStyle w:val="Heading1"/>
      </w:pPr>
      <w:r>
        <w:t>16. Merchant &amp; Treasury Transparency</w:t>
      </w:r>
    </w:p>
    <w:p>
      <w:pPr>
        <w:jc w:val="left"/>
      </w:pPr>
      <w:r>
        <w:rPr>
          <w:b w:val="0"/>
          <w:i w:val="0"/>
        </w:rPr>
        <w:t>Taryven intends to make appropriate on-chain information available so participants can distinguish project allocations from circulating tokens and observe relevant treasury, distribution, and liquidity activity.</w:t>
      </w:r>
    </w:p>
    <w:p>
      <w:pPr>
        <w:pStyle w:val="ListBullet"/>
      </w:pPr>
      <w:r>
        <w:t>Project-controlled reserve allocations begin with zero automatic TGE release.</w:t>
      </w:r>
    </w:p>
    <w:p>
      <w:pPr>
        <w:pStyle w:val="ListBullet"/>
      </w:pPr>
      <w:r>
        <w:t>Merchant and customer rewards enter circulation only as legitimately earned and released.</w:t>
      </w:r>
    </w:p>
    <w:p>
      <w:pPr>
        <w:pStyle w:val="ListBullet"/>
      </w:pPr>
      <w:r>
        <w:t>Merchant referral TRYV enters circulation only through qualifying program rewards.</w:t>
      </w:r>
    </w:p>
    <w:p>
      <w:pPr>
        <w:pStyle w:val="ListBullet"/>
      </w:pPr>
      <w:r>
        <w:t>Founder and Advisor allocations have zero automatic TGE circulation during the initial 12-month lock.</w:t>
      </w:r>
    </w:p>
    <w:p>
      <w:pPr>
        <w:pStyle w:val="ListBullet"/>
      </w:pPr>
      <w:r>
        <w:t>Relevant Taryven-controlled liquidity pool or position information is intended to be publicly identifiable on-chain.</w:t>
      </w:r>
    </w:p>
    <w:p>
      <w:pPr>
        <w:pStyle w:val="ListBullet"/>
      </w:pPr>
      <w:r>
        <w:t>Taryven intends transparent reporting of reward-pool and project-controlled reserve usage as the ecosystem develops.</w:t>
      </w:r>
    </w:p>
    <w:p>
      <w:pPr>
        <w:pStyle w:val="Heading1"/>
      </w:pPr>
      <w:r>
        <w:t>17. No Guaranteed Returns</w:t>
      </w:r>
    </w:p>
    <w:p>
      <w:pPr>
        <w:jc w:val="left"/>
      </w:pPr>
      <w:r>
        <w:rPr>
          <w:b w:val="0"/>
          <w:i w:val="0"/>
        </w:rPr>
        <w:t>TRYV is being developed as a utility token for the Taryven ecosystem. Nothing in this tokenomics framework represents a promise or guarantee of profit, investment return, token appreciation, market liquidity, future market price, exchange listing, merchant adoption, project revenue, or any particular financial outcome.</w:t>
      </w:r>
    </w:p>
    <w:p>
      <w:pPr>
        <w:jc w:val="left"/>
      </w:pPr>
      <w:r>
        <w:rPr>
          <w:b w:val="0"/>
          <w:i w:val="0"/>
        </w:rPr>
        <w:t>Cryptocurrency and digital-asset markets involve substantial risk. TRYV's market value, if any, may fluctuate significantly and may decline.</w:t>
      </w:r>
    </w:p>
    <w:p>
      <w:pPr>
        <w:jc w:val="left"/>
      </w:pPr>
      <w:r>
        <w:rPr>
          <w:b w:val="0"/>
          <w:i w:val="0"/>
        </w:rPr>
        <w:t>Project features, schedules, programs, allocations, market-launch plans, and implementation details may evolve as development, security review, legal review, and production preparation continue.</w:t>
      </w:r>
    </w:p>
    <w:p>
      <w:pPr>
        <w:pStyle w:val="Heading1"/>
      </w:pPr>
      <w:r>
        <w:t>18. Tokenomics v0.9 Summary</w:t>
      </w:r>
    </w:p>
    <w:tbl>
      <w:tblPr>
        <w:tblStyle w:val="TableGrid"/>
        <w:tblW w:type="auto" w:w="0"/>
        <w:jc w:val="center"/>
        <w:tblLook w:firstColumn="1" w:firstRow="1" w:lastColumn="0" w:lastRow="0" w:noHBand="0" w:noVBand="1" w:val="04A0"/>
      </w:tblPr>
      <w:tblGrid>
        <w:gridCol w:w="4968"/>
        <w:gridCol w:w="4968"/>
      </w:tblGrid>
      <w:tr>
        <w:tc>
          <w:tcPr>
            <w:tcW w:type="dxa" w:w="4968"/>
            <w:vAlign w:val="center"/>
            <w:shd w:fill="081324"/>
          </w:tcPr>
          <w:p>
            <w:r/>
            <w:r>
              <w:rPr>
                <w:rFonts w:ascii="Aptos" w:hAnsi="Aptos"/>
                <w:b/>
                <w:color w:val="FFFFFF"/>
                <w:sz w:val="17"/>
              </w:rPr>
              <w:t>Item</w:t>
            </w:r>
          </w:p>
        </w:tc>
        <w:tc>
          <w:tcPr>
            <w:tcW w:type="dxa" w:w="4968"/>
            <w:vAlign w:val="center"/>
            <w:shd w:fill="081324"/>
          </w:tcPr>
          <w:p>
            <w:r/>
            <w:r>
              <w:rPr>
                <w:rFonts w:ascii="Aptos" w:hAnsi="Aptos"/>
                <w:b/>
                <w:color w:val="FFFFFF"/>
                <w:sz w:val="17"/>
              </w:rPr>
              <w:t>v0.9 Framework</w:t>
            </w:r>
          </w:p>
        </w:tc>
      </w:tr>
      <w:tr>
        <w:tc>
          <w:tcPr>
            <w:tcW w:type="dxa" w:w="4968"/>
            <w:vAlign w:val="center"/>
          </w:tcPr>
          <w:p>
            <w:r/>
            <w:r>
              <w:rPr>
                <w:rFonts w:ascii="Aptos" w:hAnsi="Aptos"/>
                <w:b w:val="0"/>
                <w:sz w:val="17"/>
              </w:rPr>
              <w:t>Maximum Supply</w:t>
            </w:r>
          </w:p>
        </w:tc>
        <w:tc>
          <w:tcPr>
            <w:tcW w:type="dxa" w:w="4968"/>
            <w:vAlign w:val="center"/>
          </w:tcPr>
          <w:p>
            <w:r/>
            <w:r>
              <w:rPr>
                <w:rFonts w:ascii="Aptos" w:hAnsi="Aptos"/>
                <w:b w:val="0"/>
                <w:sz w:val="17"/>
              </w:rPr>
              <w:t>1,000,000,000 TRYV</w:t>
            </w:r>
          </w:p>
        </w:tc>
      </w:tr>
      <w:tr>
        <w:tc>
          <w:tcPr>
            <w:tcW w:type="dxa" w:w="4968"/>
            <w:vAlign w:val="center"/>
            <w:shd w:fill="F2F7FC"/>
          </w:tcPr>
          <w:p>
            <w:r/>
            <w:r>
              <w:rPr>
                <w:rFonts w:ascii="Aptos" w:hAnsi="Aptos"/>
                <w:b w:val="0"/>
                <w:sz w:val="17"/>
              </w:rPr>
              <w:t>Decimals</w:t>
            </w:r>
          </w:p>
        </w:tc>
        <w:tc>
          <w:tcPr>
            <w:tcW w:type="dxa" w:w="4968"/>
            <w:vAlign w:val="center"/>
            <w:shd w:fill="F2F7FC"/>
          </w:tcPr>
          <w:p>
            <w:r/>
            <w:r>
              <w:rPr>
                <w:rFonts w:ascii="Aptos" w:hAnsi="Aptos"/>
                <w:b w:val="0"/>
                <w:sz w:val="17"/>
              </w:rPr>
              <w:t>18</w:t>
            </w:r>
          </w:p>
        </w:tc>
      </w:tr>
      <w:tr>
        <w:tc>
          <w:tcPr>
            <w:tcW w:type="dxa" w:w="4968"/>
            <w:vAlign w:val="center"/>
          </w:tcPr>
          <w:p>
            <w:r/>
            <w:r>
              <w:rPr>
                <w:rFonts w:ascii="Aptos" w:hAnsi="Aptos"/>
                <w:b w:val="0"/>
                <w:sz w:val="17"/>
              </w:rPr>
              <w:t>Presale &amp; Market Launch</w:t>
            </w:r>
          </w:p>
        </w:tc>
        <w:tc>
          <w:tcPr>
            <w:tcW w:type="dxa" w:w="4968"/>
            <w:vAlign w:val="center"/>
          </w:tcPr>
          <w:p>
            <w:r/>
            <w:r>
              <w:rPr>
                <w:rFonts w:ascii="Aptos" w:hAnsi="Aptos"/>
                <w:b w:val="0"/>
                <w:sz w:val="17"/>
              </w:rPr>
              <w:t>400M TRYV maximum category</w:t>
            </w:r>
          </w:p>
        </w:tc>
      </w:tr>
      <w:tr>
        <w:tc>
          <w:tcPr>
            <w:tcW w:type="dxa" w:w="4968"/>
            <w:vAlign w:val="center"/>
            <w:shd w:fill="F2F7FC"/>
          </w:tcPr>
          <w:p>
            <w:r/>
            <w:r>
              <w:rPr>
                <w:rFonts w:ascii="Aptos" w:hAnsi="Aptos"/>
                <w:b w:val="0"/>
                <w:sz w:val="17"/>
              </w:rPr>
              <w:t>Presale Pricing</w:t>
            </w:r>
          </w:p>
        </w:tc>
        <w:tc>
          <w:tcPr>
            <w:tcW w:type="dxa" w:w="4968"/>
            <w:vAlign w:val="center"/>
            <w:shd w:fill="F2F7FC"/>
          </w:tcPr>
          <w:p>
            <w:r/>
            <w:r>
              <w:rPr>
                <w:rFonts w:ascii="Aptos" w:hAnsi="Aptos"/>
                <w:b w:val="0"/>
                <w:sz w:val="17"/>
              </w:rPr>
              <w:t>$0.030 → $0.055 across six stages</w:t>
            </w:r>
          </w:p>
        </w:tc>
      </w:tr>
      <w:tr>
        <w:tc>
          <w:tcPr>
            <w:tcW w:type="dxa" w:w="4968"/>
            <w:vAlign w:val="center"/>
          </w:tcPr>
          <w:p>
            <w:r/>
            <w:r>
              <w:rPr>
                <w:rFonts w:ascii="Aptos" w:hAnsi="Aptos"/>
                <w:b w:val="0"/>
                <w:sz w:val="17"/>
              </w:rPr>
              <w:t>Presale Hard Cap</w:t>
            </w:r>
          </w:p>
        </w:tc>
        <w:tc>
          <w:tcPr>
            <w:tcW w:type="dxa" w:w="4968"/>
            <w:vAlign w:val="center"/>
          </w:tcPr>
          <w:p>
            <w:r/>
            <w:r>
              <w:rPr>
                <w:rFonts w:ascii="Aptos" w:hAnsi="Aptos"/>
                <w:b w:val="0"/>
                <w:sz w:val="17"/>
              </w:rPr>
              <w:t>$10M</w:t>
            </w:r>
          </w:p>
        </w:tc>
      </w:tr>
      <w:tr>
        <w:tc>
          <w:tcPr>
            <w:tcW w:type="dxa" w:w="4968"/>
            <w:vAlign w:val="center"/>
            <w:shd w:fill="F2F7FC"/>
          </w:tcPr>
          <w:p>
            <w:r/>
            <w:r>
              <w:rPr>
                <w:rFonts w:ascii="Aptos" w:hAnsi="Aptos"/>
                <w:b w:val="0"/>
                <w:sz w:val="17"/>
              </w:rPr>
              <w:t>Soft-Cap Milestone</w:t>
            </w:r>
          </w:p>
        </w:tc>
        <w:tc>
          <w:tcPr>
            <w:tcW w:type="dxa" w:w="4968"/>
            <w:vAlign w:val="center"/>
            <w:shd w:fill="F2F7FC"/>
          </w:tcPr>
          <w:p>
            <w:r/>
            <w:r>
              <w:rPr>
                <w:rFonts w:ascii="Aptos" w:hAnsi="Aptos"/>
                <w:b w:val="0"/>
                <w:sz w:val="17"/>
              </w:rPr>
              <w:t>$1.5M; not an automatic-refund guarantee</w:t>
            </w:r>
          </w:p>
        </w:tc>
      </w:tr>
      <w:tr>
        <w:tc>
          <w:tcPr>
            <w:tcW w:type="dxa" w:w="4968"/>
            <w:vAlign w:val="center"/>
          </w:tcPr>
          <w:p>
            <w:r/>
            <w:r>
              <w:rPr>
                <w:rFonts w:ascii="Aptos" w:hAnsi="Aptos"/>
                <w:b w:val="0"/>
                <w:sz w:val="17"/>
              </w:rPr>
              <w:t>Purchaser Release</w:t>
            </w:r>
          </w:p>
        </w:tc>
        <w:tc>
          <w:tcPr>
            <w:tcW w:type="dxa" w:w="4968"/>
            <w:vAlign w:val="center"/>
          </w:tcPr>
          <w:p>
            <w:r/>
            <w:r>
              <w:rPr>
                <w:rFonts w:ascii="Aptos" w:hAnsi="Aptos"/>
                <w:b w:val="0"/>
                <w:sz w:val="17"/>
              </w:rPr>
              <w:t>25% at TGE + 12 × 6.25% every 30 days</w:t>
            </w:r>
          </w:p>
        </w:tc>
      </w:tr>
      <w:tr>
        <w:tc>
          <w:tcPr>
            <w:tcW w:type="dxa" w:w="4968"/>
            <w:vAlign w:val="center"/>
            <w:shd w:fill="F2F7FC"/>
          </w:tcPr>
          <w:p>
            <w:r/>
            <w:r>
              <w:rPr>
                <w:rFonts w:ascii="Aptos" w:hAnsi="Aptos"/>
                <w:b w:val="0"/>
                <w:sz w:val="17"/>
              </w:rPr>
              <w:t>Founder &amp; Advisory</w:t>
            </w:r>
          </w:p>
        </w:tc>
        <w:tc>
          <w:tcPr>
            <w:tcW w:type="dxa" w:w="4968"/>
            <w:vAlign w:val="center"/>
            <w:shd w:fill="F2F7FC"/>
          </w:tcPr>
          <w:p>
            <w:r/>
            <w:r>
              <w:rPr>
                <w:rFonts w:ascii="Aptos" w:hAnsi="Aptos"/>
                <w:b w:val="0"/>
                <w:sz w:val="17"/>
              </w:rPr>
              <w:t>75M TRYV hard maximum; 12-month lock + 24-month vesting</w:t>
            </w:r>
          </w:p>
        </w:tc>
      </w:tr>
      <w:tr>
        <w:tc>
          <w:tcPr>
            <w:tcW w:type="dxa" w:w="4968"/>
            <w:vAlign w:val="center"/>
          </w:tcPr>
          <w:p>
            <w:r/>
            <w:r>
              <w:rPr>
                <w:rFonts w:ascii="Aptos" w:hAnsi="Aptos"/>
                <w:b w:val="0"/>
                <w:sz w:val="17"/>
              </w:rPr>
              <w:t>Merchant &amp; Customer Rewards</w:t>
            </w:r>
          </w:p>
        </w:tc>
        <w:tc>
          <w:tcPr>
            <w:tcW w:type="dxa" w:w="4968"/>
            <w:vAlign w:val="center"/>
          </w:tcPr>
          <w:p>
            <w:r/>
            <w:r>
              <w:rPr>
                <w:rFonts w:ascii="Aptos" w:hAnsi="Aptos"/>
                <w:b w:val="0"/>
                <w:sz w:val="17"/>
              </w:rPr>
              <w:t>200M TRYV</w:t>
            </w:r>
          </w:p>
        </w:tc>
      </w:tr>
      <w:tr>
        <w:tc>
          <w:tcPr>
            <w:tcW w:type="dxa" w:w="4968"/>
            <w:vAlign w:val="center"/>
            <w:shd w:fill="F2F7FC"/>
          </w:tcPr>
          <w:p>
            <w:r/>
            <w:r>
              <w:rPr>
                <w:rFonts w:ascii="Aptos" w:hAnsi="Aptos"/>
                <w:b w:val="0"/>
                <w:sz w:val="17"/>
              </w:rPr>
              <w:t>Merchant Referral</w:t>
            </w:r>
          </w:p>
        </w:tc>
        <w:tc>
          <w:tcPr>
            <w:tcW w:type="dxa" w:w="4968"/>
            <w:vAlign w:val="center"/>
            <w:shd w:fill="F2F7FC"/>
          </w:tcPr>
          <w:p>
            <w:r/>
            <w:r>
              <w:rPr>
                <w:rFonts w:ascii="Aptos" w:hAnsi="Aptos"/>
                <w:b w:val="0"/>
                <w:sz w:val="17"/>
              </w:rPr>
              <w:t>20M TRYV; planned 1,000 TRYV per qualifying verified merchant</w:t>
            </w:r>
          </w:p>
        </w:tc>
      </w:tr>
      <w:tr>
        <w:tc>
          <w:tcPr>
            <w:tcW w:type="dxa" w:w="4968"/>
            <w:vAlign w:val="center"/>
          </w:tcPr>
          <w:p>
            <w:r/>
            <w:r>
              <w:rPr>
                <w:rFonts w:ascii="Aptos" w:hAnsi="Aptos"/>
                <w:b w:val="0"/>
                <w:sz w:val="17"/>
              </w:rPr>
              <w:t>Project-Controlled Reserves</w:t>
            </w:r>
          </w:p>
        </w:tc>
        <w:tc>
          <w:tcPr>
            <w:tcW w:type="dxa" w:w="4968"/>
            <w:vAlign w:val="center"/>
          </w:tcPr>
          <w:p>
            <w:r/>
            <w:r>
              <w:rPr>
                <w:rFonts w:ascii="Aptos" w:hAnsi="Aptos"/>
                <w:b w:val="0"/>
                <w:sz w:val="17"/>
              </w:rPr>
              <w:t>305M TRYV; zero automatic TGE release</w:t>
            </w:r>
          </w:p>
        </w:tc>
      </w:tr>
      <w:tr>
        <w:tc>
          <w:tcPr>
            <w:tcW w:type="dxa" w:w="4968"/>
            <w:vAlign w:val="center"/>
            <w:shd w:fill="F2F7FC"/>
          </w:tcPr>
          <w:p>
            <w:r/>
            <w:r>
              <w:rPr>
                <w:rFonts w:ascii="Aptos" w:hAnsi="Aptos"/>
                <w:b w:val="0"/>
                <w:sz w:val="17"/>
              </w:rPr>
              <w:t>Working DEX Reference</w:t>
            </w:r>
          </w:p>
        </w:tc>
        <w:tc>
          <w:tcPr>
            <w:tcW w:type="dxa" w:w="4968"/>
            <w:vAlign w:val="center"/>
            <w:shd w:fill="F2F7FC"/>
          </w:tcPr>
          <w:p>
            <w:r/>
            <w:r>
              <w:rPr>
                <w:rFonts w:ascii="Aptos" w:hAnsi="Aptos"/>
                <w:b w:val="0"/>
                <w:sz w:val="17"/>
              </w:rPr>
              <w:t>Approximately $0.065; not guaranteed</w:t>
            </w:r>
          </w:p>
        </w:tc>
      </w:tr>
      <w:tr>
        <w:tc>
          <w:tcPr>
            <w:tcW w:type="dxa" w:w="4968"/>
            <w:vAlign w:val="center"/>
          </w:tcPr>
          <w:p>
            <w:r/>
            <w:r>
              <w:rPr>
                <w:rFonts w:ascii="Aptos" w:hAnsi="Aptos"/>
                <w:b w:val="0"/>
                <w:sz w:val="17"/>
              </w:rPr>
              <w:t>Liquidity Budget</w:t>
            </w:r>
          </w:p>
        </w:tc>
        <w:tc>
          <w:tcPr>
            <w:tcW w:type="dxa" w:w="4968"/>
            <w:vAlign w:val="center"/>
          </w:tcPr>
          <w:p>
            <w:r/>
            <w:r>
              <w:rPr>
                <w:rFonts w:ascii="Aptos" w:hAnsi="Aptos"/>
                <w:b w:val="0"/>
                <w:sz w:val="17"/>
              </w:rPr>
              <w:t>Up to approximately 30% of actual presale proceeds</w:t>
            </w:r>
          </w:p>
        </w:tc>
      </w:tr>
      <w:tr>
        <w:tc>
          <w:tcPr>
            <w:tcW w:type="dxa" w:w="4968"/>
            <w:vAlign w:val="center"/>
            <w:shd w:fill="F2F7FC"/>
          </w:tcPr>
          <w:p>
            <w:r/>
            <w:r>
              <w:rPr>
                <w:rFonts w:ascii="Aptos" w:hAnsi="Aptos"/>
                <w:b w:val="0"/>
                <w:sz w:val="17"/>
              </w:rPr>
              <w:t>Maximum Minting</w:t>
            </w:r>
          </w:p>
        </w:tc>
        <w:tc>
          <w:tcPr>
            <w:tcW w:type="dxa" w:w="4968"/>
            <w:vAlign w:val="center"/>
            <w:shd w:fill="F2F7FC"/>
          </w:tcPr>
          <w:p>
            <w:r/>
            <w:r>
              <w:rPr>
                <w:rFonts w:ascii="Aptos" w:hAnsi="Aptos"/>
                <w:b w:val="0"/>
                <w:sz w:val="17"/>
              </w:rPr>
              <w:t>No minting beyond 1B maximum supply</w:t>
            </w:r>
          </w:p>
        </w:tc>
      </w:tr>
      <w:tr>
        <w:tc>
          <w:tcPr>
            <w:tcW w:type="dxa" w:w="4968"/>
            <w:vAlign w:val="center"/>
          </w:tcPr>
          <w:p>
            <w:r/>
            <w:r>
              <w:rPr>
                <w:rFonts w:ascii="Aptos" w:hAnsi="Aptos"/>
                <w:b w:val="0"/>
                <w:sz w:val="17"/>
              </w:rPr>
              <w:t>Burns</w:t>
            </w:r>
          </w:p>
        </w:tc>
        <w:tc>
          <w:tcPr>
            <w:tcW w:type="dxa" w:w="4968"/>
            <w:vAlign w:val="center"/>
          </w:tcPr>
          <w:p>
            <w:r/>
            <w:r>
              <w:rPr>
                <w:rFonts w:ascii="Aptos" w:hAnsi="Aptos"/>
                <w:b w:val="0"/>
                <w:sz w:val="17"/>
              </w:rPr>
              <w:t>Optional authorized permanent burns; no promised schedule</w:t>
            </w:r>
          </w:p>
        </w:tc>
      </w:tr>
    </w:tbl>
    <w:p>
      <w:pPr>
        <w:pStyle w:val="Heading1"/>
      </w:pPr>
      <w:r>
        <w:t>19. Version &amp; Review Status</w:t>
      </w:r>
    </w:p>
    <w:p>
      <w:pPr>
        <w:jc w:val="left"/>
      </w:pPr>
      <w:r>
        <w:rPr>
          <w:b/>
          <w:i w:val="0"/>
        </w:rPr>
        <w:t>TARYVEN TOKENOMICS v0.9 — WORKING DRAFT</w:t>
      </w:r>
    </w:p>
    <w:p>
      <w:pPr>
        <w:jc w:val="left"/>
      </w:pPr>
      <w:r>
        <w:rPr>
          <w:b w:val="0"/>
          <w:i w:val="0"/>
        </w:rPr>
        <w:t>This version establishes Taryven's current working token-economic framework. It is not yet the final public Tokenomics v1.0.</w:t>
      </w:r>
    </w:p>
    <w:p>
      <w:pPr>
        <w:jc w:val="left"/>
      </w:pPr>
      <w:r>
        <w:rPr>
          <w:b w:val="0"/>
          <w:i w:val="0"/>
        </w:rPr>
        <w:t>Before publication as v1.0, the document should undergo technical reconciliation against final production contracts, production deployment reconciliation, independent security-review reconciliation, legal and compliance review, and final management approval.</w:t>
      </w:r>
    </w:p>
    <w:sectPr w:rsidR="00FC693F" w:rsidRPr="0006063C" w:rsidSect="00034616">
      <w:footerReference w:type="default" r:id="rId9"/>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E78"/>
        <w:sz w:val="16"/>
      </w:rPr>
      <w:t>TARYVEN • TRYV TOKENOMICS v0.9 • WORKING DRAFT — NOT FINAL</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0070F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081324"/>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w:hAnsi="Aptos"/>
      <w:b/>
      <w:color w:val="0070FF"/>
      <w:spacing w:val="5"/>
      <w:kern w:val="28"/>
      <w:sz w:val="6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